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E2B5" w14:textId="1E1B8A9F" w:rsidR="00E8455C" w:rsidRDefault="00E8455C" w:rsidP="00E8455C">
      <w:r>
        <w:rPr>
          <w:noProof/>
          <w:lang w:eastAsia="en-GB"/>
        </w:rPr>
        <w:drawing>
          <wp:inline distT="0" distB="0" distL="0" distR="0" wp14:anchorId="2ED66494" wp14:editId="4B1D1AFA">
            <wp:extent cx="2780030" cy="12071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B6BA" w14:textId="479E72EB" w:rsidR="00E8455C" w:rsidRDefault="00E8455C" w:rsidP="00E8455C"/>
    <w:p w14:paraId="61691AE0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002F56"/>
          <w:sz w:val="44"/>
          <w:szCs w:val="44"/>
        </w:rPr>
        <w:t>Additional Assessment Materials </w:t>
      </w:r>
      <w:r>
        <w:rPr>
          <w:rStyle w:val="eop"/>
          <w:rFonts w:ascii="Open Sans" w:hAnsi="Open Sans" w:cs="Open Sans"/>
          <w:color w:val="002F56"/>
          <w:sz w:val="44"/>
          <w:szCs w:val="44"/>
        </w:rPr>
        <w:t> </w:t>
      </w:r>
    </w:p>
    <w:p w14:paraId="1838E276" w14:textId="58982EA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548F99" w14:textId="7B5FA458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scxw9675270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Pearson Edexcel GCE in </w:t>
      </w:r>
      <w:r w:rsidR="00AB634A"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 xml:space="preserve">A level </w:t>
      </w: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 xml:space="preserve">Business </w:t>
      </w:r>
    </w:p>
    <w:p w14:paraId="1C15CC68" w14:textId="0807A22F" w:rsidR="00E8455C" w:rsidRDefault="00AB634A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9BS0</w:t>
      </w:r>
    </w:p>
    <w:p w14:paraId="0B4F73DF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43"/>
          <w:szCs w:val="43"/>
        </w:rPr>
        <w:t> </w:t>
      </w:r>
      <w:r>
        <w:rPr>
          <w:rStyle w:val="eop"/>
          <w:rFonts w:ascii="Open Sans" w:hAnsi="Open Sans" w:cs="Open Sans"/>
          <w:sz w:val="43"/>
          <w:szCs w:val="43"/>
        </w:rPr>
        <w:t> </w:t>
      </w:r>
    </w:p>
    <w:p w14:paraId="587DC5AB" w14:textId="3E5A58C7" w:rsidR="00CD448B" w:rsidRDefault="00E8455C" w:rsidP="14A7EBF8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 w:rsidRPr="14A7EBF8"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Resource Set </w:t>
      </w:r>
      <w:r w:rsidR="561E444D" w:rsidRPr="14A7EBF8"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3</w:t>
      </w:r>
    </w:p>
    <w:p w14:paraId="16FCE079" w14:textId="4EA0D5DF" w:rsidR="00F90CD9" w:rsidRDefault="00F90CD9" w:rsidP="00F90CD9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3.3 Decision-making techniques</w:t>
      </w:r>
    </w:p>
    <w:p w14:paraId="0B399EAA" w14:textId="536B16AD" w:rsidR="00F90CD9" w:rsidRDefault="00F90CD9" w:rsidP="00F90CD9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3.3.2 Investment appraisals</w:t>
      </w:r>
    </w:p>
    <w:p w14:paraId="4E51CD27" w14:textId="6D2E7BBB" w:rsidR="00F90CD9" w:rsidRDefault="00F90CD9" w:rsidP="00F90CD9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3.3.3 Decision trees</w:t>
      </w:r>
    </w:p>
    <w:p w14:paraId="2B4DA088" w14:textId="1AC8F4A8" w:rsidR="00F90CD9" w:rsidRDefault="00F90CD9" w:rsidP="00F90CD9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3.3.4 Critical path analysis</w:t>
      </w:r>
    </w:p>
    <w:p w14:paraId="595CCF81" w14:textId="589178B4" w:rsidR="00F90CD9" w:rsidRDefault="00F90CD9" w:rsidP="00F90CD9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</w:p>
    <w:p w14:paraId="5FD0805C" w14:textId="5CD923A2" w:rsidR="00F90CD9" w:rsidRDefault="00F90CD9" w:rsidP="00F90CD9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</w:p>
    <w:p w14:paraId="404C784E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0B01AE8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0F051691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51425EC" w14:textId="6804F48A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6443701" w14:textId="71FEF2E2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CB8B9EB" w14:textId="35C142EA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30DCFB" w14:textId="379A5815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73201BC" w14:textId="1479568D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DFA1D1E" w14:textId="4F3BBCB9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C3E138" w14:textId="12A3FD49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8388820" w14:textId="6BCB0CB6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7B3A132" w14:textId="713BD766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FC354E6" w14:textId="610612A7" w:rsidR="00E500C5" w:rsidRDefault="00F90CD9" w:rsidP="00F90C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90CD9">
        <w:rPr>
          <w:rFonts w:ascii="MyriadPro-Regular" w:hAnsi="MyriadPro-Regular" w:cs="MyriadPro-Regular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26F60B7" wp14:editId="4106773F">
            <wp:simplePos x="0" y="0"/>
            <wp:positionH relativeFrom="margin">
              <wp:align>left</wp:align>
            </wp:positionH>
            <wp:positionV relativeFrom="paragraph">
              <wp:posOffset>317721</wp:posOffset>
            </wp:positionV>
            <wp:extent cx="5631815" cy="2440940"/>
            <wp:effectExtent l="0" t="0" r="6985" b="0"/>
            <wp:wrapTight wrapText="bothSides">
              <wp:wrapPolygon edited="0">
                <wp:start x="0" y="0"/>
                <wp:lineTo x="0" y="21409"/>
                <wp:lineTo x="21554" y="21409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3.3.2 Investment appraisals</w:t>
      </w:r>
    </w:p>
    <w:p w14:paraId="4BEAA610" w14:textId="4F148383" w:rsidR="00F90CD9" w:rsidRDefault="00F90CD9" w:rsidP="00F90C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0F49AB82" w14:textId="77777777" w:rsidR="00F90CD9" w:rsidRDefault="00F90CD9" w:rsidP="00F90C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5F681BC" w14:textId="77777777" w:rsidR="00F90CD9" w:rsidRDefault="00F90CD9" w:rsidP="00F90C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126DA0A" w14:textId="18454F0E" w:rsidR="00F90CD9" w:rsidRDefault="00F90CD9" w:rsidP="00F90C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For people in developing countries, purchasing a pair of VisionSpring glasses may be</w:t>
      </w:r>
    </w:p>
    <w:p w14:paraId="4A876050" w14:textId="77777777" w:rsidR="00F90CD9" w:rsidRDefault="00F90CD9" w:rsidP="00F90C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considered as an investment.</w:t>
      </w:r>
    </w:p>
    <w:p w14:paraId="3753784B" w14:textId="77777777" w:rsidR="00F90CD9" w:rsidRDefault="00F90CD9" w:rsidP="00F90C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79CF144" w14:textId="1D00AA13" w:rsidR="00F90CD9" w:rsidRDefault="00F90CD9" w:rsidP="00F90CD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1</w:t>
      </w:r>
      <w:r>
        <w:rPr>
          <w:rFonts w:ascii="MyriadPro-Regular" w:hAnsi="MyriadPro-Regular" w:cs="MyriadPro-Regular"/>
          <w:sz w:val="24"/>
          <w:szCs w:val="24"/>
        </w:rPr>
        <w:tab/>
        <w:t>Using the data in Extract B, calculate the average rate of return from purchasing a pair of glasses. You are advised to show your working.</w:t>
      </w:r>
    </w:p>
    <w:p w14:paraId="3D8954D3" w14:textId="301978EA" w:rsidR="00F90CD9" w:rsidRDefault="00F90CD9" w:rsidP="00F90CD9">
      <w:pPr>
        <w:pStyle w:val="partmarks"/>
      </w:pPr>
      <w:r>
        <w:t>(4)</w:t>
      </w:r>
    </w:p>
    <w:p w14:paraId="5C40785B" w14:textId="15BDDD00" w:rsidR="00F90CD9" w:rsidRDefault="00F90CD9" w:rsidP="00F90CD9">
      <w:pPr>
        <w:pStyle w:val="answerlines"/>
      </w:pPr>
      <w:r>
        <w:tab/>
      </w:r>
    </w:p>
    <w:p w14:paraId="2FD409D0" w14:textId="52A77B33" w:rsidR="00F90CD9" w:rsidRDefault="00F90CD9" w:rsidP="00F90CD9">
      <w:pPr>
        <w:pStyle w:val="answerlines"/>
      </w:pPr>
      <w:r>
        <w:tab/>
      </w:r>
    </w:p>
    <w:p w14:paraId="7E2E3E26" w14:textId="2C533957" w:rsidR="00F90CD9" w:rsidRDefault="00F90CD9" w:rsidP="00F90CD9">
      <w:pPr>
        <w:pStyle w:val="answerlines"/>
      </w:pPr>
      <w:r>
        <w:tab/>
      </w:r>
    </w:p>
    <w:p w14:paraId="0FCB7B9A" w14:textId="2B64287A" w:rsidR="00F90CD9" w:rsidRDefault="00F90CD9" w:rsidP="00F90CD9">
      <w:pPr>
        <w:pStyle w:val="answerlines"/>
      </w:pPr>
      <w:r>
        <w:tab/>
      </w:r>
    </w:p>
    <w:p w14:paraId="3C71A7C3" w14:textId="2E7D2F91" w:rsidR="00F90CD9" w:rsidRDefault="00F90CD9" w:rsidP="00F90CD9">
      <w:pPr>
        <w:pStyle w:val="answerlines"/>
      </w:pPr>
      <w:r>
        <w:tab/>
      </w:r>
    </w:p>
    <w:p w14:paraId="13968FFE" w14:textId="3DE8A5D9" w:rsidR="00F90CD9" w:rsidRDefault="00F90CD9" w:rsidP="00F90CD9">
      <w:pPr>
        <w:pStyle w:val="answerlines"/>
      </w:pPr>
      <w:r>
        <w:tab/>
      </w:r>
    </w:p>
    <w:p w14:paraId="212F4183" w14:textId="3523E996" w:rsidR="00F90CD9" w:rsidRDefault="00F90CD9" w:rsidP="00F90CD9">
      <w:pPr>
        <w:pStyle w:val="answerlines"/>
      </w:pPr>
      <w:r>
        <w:tab/>
      </w:r>
    </w:p>
    <w:p w14:paraId="3DC4F3A3" w14:textId="19256065" w:rsidR="00F90CD9" w:rsidRDefault="00F90CD9" w:rsidP="00F90CD9">
      <w:pPr>
        <w:pStyle w:val="answerlines"/>
      </w:pPr>
      <w:r>
        <w:tab/>
      </w:r>
    </w:p>
    <w:p w14:paraId="49EFC66D" w14:textId="034E5E72" w:rsidR="004219F6" w:rsidRDefault="004219F6" w:rsidP="004219F6"/>
    <w:p w14:paraId="7089E3DF" w14:textId="74F7E583" w:rsidR="004219F6" w:rsidRDefault="004219F6" w:rsidP="004219F6"/>
    <w:p w14:paraId="652CBAF7" w14:textId="000D709F" w:rsidR="004219F6" w:rsidRDefault="004219F6" w:rsidP="004219F6"/>
    <w:p w14:paraId="1EA643E7" w14:textId="6B87BAFA" w:rsidR="004219F6" w:rsidRDefault="004219F6" w:rsidP="004219F6"/>
    <w:p w14:paraId="511CE9ED" w14:textId="5D471285" w:rsidR="004219F6" w:rsidRDefault="004219F6" w:rsidP="004219F6"/>
    <w:p w14:paraId="0A9E67F7" w14:textId="180A7B00" w:rsidR="004219F6" w:rsidRDefault="00226B6B" w:rsidP="004219F6">
      <w:pPr>
        <w:jc w:val="center"/>
        <w:rPr>
          <w:b/>
          <w:bCs/>
          <w:sz w:val="24"/>
          <w:szCs w:val="24"/>
        </w:rPr>
      </w:pPr>
      <w:r w:rsidRPr="00226B6B">
        <w:rPr>
          <w:rFonts w:ascii="MyriadPro-Regular" w:hAnsi="MyriadPro-Regular" w:cs="MyriadPro-Regular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173A234" wp14:editId="6F1891DD">
            <wp:simplePos x="0" y="0"/>
            <wp:positionH relativeFrom="column">
              <wp:posOffset>316376</wp:posOffset>
            </wp:positionH>
            <wp:positionV relativeFrom="paragraph">
              <wp:posOffset>189669</wp:posOffset>
            </wp:positionV>
            <wp:extent cx="4867275" cy="4312920"/>
            <wp:effectExtent l="0" t="0" r="9525" b="0"/>
            <wp:wrapTight wrapText="bothSides">
              <wp:wrapPolygon edited="0">
                <wp:start x="0" y="0"/>
                <wp:lineTo x="0" y="21466"/>
                <wp:lineTo x="21558" y="21466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F6" w:rsidRPr="004219F6">
        <w:rPr>
          <w:b/>
          <w:bCs/>
          <w:sz w:val="24"/>
          <w:szCs w:val="24"/>
        </w:rPr>
        <w:t>3.3.3 Decision trees</w:t>
      </w:r>
    </w:p>
    <w:p w14:paraId="4E9E677D" w14:textId="3CBF7579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A6530F1" w14:textId="460FE739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C6CD048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817FC0E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C51116C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A69EE86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004B4B2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38DD120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F40A7A6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DD6179D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DA50C80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E7E4B67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6BEAB8F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2D13CE9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1ADAA32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094B59F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1516997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D819E74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E3D143C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032FF59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315D268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903F689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8CB8E28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B67B4E7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21124B4" w14:textId="2B3CED48" w:rsidR="00226B6B" w:rsidRDefault="004219F6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The net gain for the new smartwatch is £1.3 million.</w:t>
      </w:r>
    </w:p>
    <w:p w14:paraId="561F0623" w14:textId="77777777" w:rsidR="00226B6B" w:rsidRDefault="00226B6B" w:rsidP="004219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8955808" w14:textId="77777777" w:rsidR="00226B6B" w:rsidRDefault="00226B6B" w:rsidP="00226B6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2</w:t>
      </w:r>
      <w:r>
        <w:rPr>
          <w:rFonts w:ascii="MyriadPro-Regular" w:hAnsi="MyriadPro-Regular" w:cs="MyriadPro-Regular"/>
          <w:sz w:val="24"/>
          <w:szCs w:val="24"/>
        </w:rPr>
        <w:tab/>
      </w:r>
      <w:r w:rsidR="004219F6">
        <w:rPr>
          <w:rFonts w:ascii="MyriadPro-Regular" w:hAnsi="MyriadPro-Regular" w:cs="MyriadPro-Regular"/>
          <w:sz w:val="24"/>
          <w:szCs w:val="24"/>
        </w:rPr>
        <w:t>Using the data in the decision tree, calculate the net gain for the marketing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="004219F6">
        <w:rPr>
          <w:rFonts w:ascii="MyriadPro-Regular" w:hAnsi="MyriadPro-Regular" w:cs="MyriadPro-Regular"/>
          <w:sz w:val="24"/>
          <w:szCs w:val="24"/>
        </w:rPr>
        <w:t xml:space="preserve">campaign. </w:t>
      </w:r>
    </w:p>
    <w:p w14:paraId="4A011F57" w14:textId="545EF72F" w:rsidR="004219F6" w:rsidRDefault="004219F6" w:rsidP="00226B6B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State your answer to two decimal places. You are advised to show</w:t>
      </w:r>
      <w:r w:rsidR="00226B6B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your working.</w:t>
      </w:r>
    </w:p>
    <w:p w14:paraId="5A3DA7EE" w14:textId="13E4C860" w:rsidR="00226B6B" w:rsidRDefault="00226B6B" w:rsidP="00226B6B">
      <w:pPr>
        <w:pStyle w:val="partmarks"/>
      </w:pPr>
      <w:r>
        <w:t>(4)</w:t>
      </w:r>
    </w:p>
    <w:p w14:paraId="4AE7D2F5" w14:textId="0C2446BA" w:rsidR="00226B6B" w:rsidRDefault="00226B6B" w:rsidP="00226B6B">
      <w:pPr>
        <w:pStyle w:val="answerlines"/>
      </w:pPr>
      <w:r>
        <w:tab/>
      </w:r>
    </w:p>
    <w:p w14:paraId="66BA0577" w14:textId="408CDF08" w:rsidR="00226B6B" w:rsidRDefault="00226B6B" w:rsidP="00226B6B">
      <w:pPr>
        <w:pStyle w:val="answerlines"/>
      </w:pPr>
      <w:r>
        <w:tab/>
      </w:r>
    </w:p>
    <w:p w14:paraId="77550AF2" w14:textId="3D2473FD" w:rsidR="00226B6B" w:rsidRDefault="00226B6B" w:rsidP="00226B6B">
      <w:pPr>
        <w:pStyle w:val="answerlines"/>
      </w:pPr>
      <w:r>
        <w:tab/>
      </w:r>
    </w:p>
    <w:p w14:paraId="3A827518" w14:textId="6E85B338" w:rsidR="00226B6B" w:rsidRDefault="00226B6B" w:rsidP="00226B6B">
      <w:pPr>
        <w:pStyle w:val="answerlines"/>
      </w:pPr>
      <w:r>
        <w:tab/>
      </w:r>
    </w:p>
    <w:p w14:paraId="1A3966C1" w14:textId="392CC0AA" w:rsidR="00226B6B" w:rsidRDefault="00226B6B" w:rsidP="00226B6B">
      <w:pPr>
        <w:pStyle w:val="answerlines"/>
      </w:pPr>
      <w:r>
        <w:tab/>
      </w:r>
    </w:p>
    <w:p w14:paraId="04E81241" w14:textId="61B772F8" w:rsidR="00226B6B" w:rsidRDefault="00226B6B" w:rsidP="00226B6B">
      <w:pPr>
        <w:pStyle w:val="answerlines"/>
      </w:pPr>
      <w:r>
        <w:tab/>
      </w:r>
    </w:p>
    <w:p w14:paraId="55C281F0" w14:textId="6A67C155" w:rsidR="00226B6B" w:rsidRDefault="00226B6B" w:rsidP="00226B6B">
      <w:pPr>
        <w:pStyle w:val="answerlines"/>
      </w:pPr>
      <w:r>
        <w:tab/>
      </w:r>
    </w:p>
    <w:p w14:paraId="2970BF69" w14:textId="21264A05" w:rsidR="00226B6B" w:rsidRDefault="00226B6B" w:rsidP="00226B6B">
      <w:pPr>
        <w:pStyle w:val="answerlines"/>
      </w:pPr>
      <w:r>
        <w:tab/>
      </w:r>
    </w:p>
    <w:p w14:paraId="54F26D45" w14:textId="77777777" w:rsidR="001B0FDB" w:rsidRPr="00226B6B" w:rsidRDefault="001B0FDB" w:rsidP="00226B6B">
      <w:pPr>
        <w:pStyle w:val="answerlines"/>
      </w:pPr>
      <w:bookmarkStart w:id="0" w:name="_GoBack"/>
      <w:bookmarkEnd w:id="0"/>
    </w:p>
    <w:p w14:paraId="166E9D1E" w14:textId="7782BCC7" w:rsidR="0068702C" w:rsidRPr="0068702C" w:rsidRDefault="0068702C" w:rsidP="006870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8702C">
        <w:rPr>
          <w:rFonts w:cstheme="minorHAnsi"/>
          <w:b/>
          <w:bCs/>
          <w:sz w:val="24"/>
          <w:szCs w:val="24"/>
        </w:rPr>
        <w:t>3.3.4 Critical path analysis</w:t>
      </w:r>
    </w:p>
    <w:p w14:paraId="66AB4D81" w14:textId="77777777" w:rsidR="0068702C" w:rsidRDefault="0068702C" w:rsidP="00EC0A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F1E1018" w14:textId="2C8E359B" w:rsidR="00EC0A8A" w:rsidRDefault="00EC0A8A" w:rsidP="00EC0A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Innocent Drinks has constructed the network diagram below to plan the launch of</w:t>
      </w:r>
    </w:p>
    <w:p w14:paraId="3F5C69AC" w14:textId="77777777" w:rsidR="00EC0A8A" w:rsidRDefault="00EC0A8A" w:rsidP="00EC0A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a new line of smoothies. Each number represents how many days each activity is</w:t>
      </w:r>
    </w:p>
    <w:p w14:paraId="67836189" w14:textId="76D3297B" w:rsidR="00086E92" w:rsidRDefault="00EC0A8A" w:rsidP="00EC0A8A">
      <w:pPr>
        <w:rPr>
          <w:rFonts w:ascii="MyriadPro-Regular" w:hAnsi="MyriadPro-Regular" w:cs="MyriadPro-Regular"/>
          <w:sz w:val="24"/>
          <w:szCs w:val="24"/>
        </w:rPr>
      </w:pPr>
      <w:r w:rsidRPr="00EC0A8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00A474B" wp14:editId="4BA0DA0F">
            <wp:simplePos x="0" y="0"/>
            <wp:positionH relativeFrom="margin">
              <wp:posOffset>-21102</wp:posOffset>
            </wp:positionH>
            <wp:positionV relativeFrom="paragraph">
              <wp:posOffset>302895</wp:posOffset>
            </wp:positionV>
            <wp:extent cx="5310505" cy="1711960"/>
            <wp:effectExtent l="0" t="0" r="4445" b="2540"/>
            <wp:wrapTight wrapText="bothSides">
              <wp:wrapPolygon edited="0">
                <wp:start x="0" y="0"/>
                <wp:lineTo x="0" y="21392"/>
                <wp:lineTo x="21541" y="21392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Regular" w:hAnsi="MyriadPro-Regular" w:cs="MyriadPro-Regular"/>
          <w:sz w:val="24"/>
          <w:szCs w:val="24"/>
        </w:rPr>
        <w:t>estimated to take.</w:t>
      </w:r>
    </w:p>
    <w:p w14:paraId="79FDF2EC" w14:textId="78BA62B2" w:rsidR="00EC0A8A" w:rsidRDefault="00EC0A8A" w:rsidP="00EC0A8A"/>
    <w:p w14:paraId="21692EE4" w14:textId="5C7536F1" w:rsidR="00EC0A8A" w:rsidRDefault="00EC0A8A" w:rsidP="00EC0A8A"/>
    <w:p w14:paraId="17C99611" w14:textId="2B8ECDD6" w:rsidR="00EC0A8A" w:rsidRDefault="00EC0A8A" w:rsidP="00EC0A8A"/>
    <w:p w14:paraId="207B6568" w14:textId="38EE1861" w:rsidR="00EC0A8A" w:rsidRDefault="00EC0A8A" w:rsidP="00EC0A8A"/>
    <w:p w14:paraId="212A13A9" w14:textId="66410CBD" w:rsidR="00EC0A8A" w:rsidRDefault="00EC0A8A" w:rsidP="00EC0A8A"/>
    <w:p w14:paraId="6892A066" w14:textId="5C205EEA" w:rsidR="00EC0A8A" w:rsidRDefault="00EC0A8A" w:rsidP="00EC0A8A"/>
    <w:p w14:paraId="33F8D3F4" w14:textId="77777777" w:rsidR="00EC0A8A" w:rsidRDefault="00EC0A8A" w:rsidP="00EC0A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0E62C7E" w14:textId="5E80E8E6" w:rsidR="00EC0A8A" w:rsidRDefault="00EC0A8A" w:rsidP="00EC0A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3</w:t>
      </w:r>
      <w:r>
        <w:rPr>
          <w:rFonts w:ascii="MyriadPro-Regular" w:hAnsi="MyriadPro-Regular" w:cs="MyriadPro-Regular"/>
          <w:sz w:val="24"/>
          <w:szCs w:val="24"/>
        </w:rPr>
        <w:tab/>
        <w:t>Using the data in the network diagram above, calculate the Earliest Start Times (EST) and Latest Finishing Times (LFT) for each activity and identify the critical path.</w:t>
      </w:r>
    </w:p>
    <w:p w14:paraId="06EEACA1" w14:textId="77777777" w:rsidR="0068702C" w:rsidRDefault="0068702C" w:rsidP="00EC0A8A">
      <w:pPr>
        <w:pStyle w:val="partmarks"/>
      </w:pPr>
    </w:p>
    <w:p w14:paraId="1273A203" w14:textId="0D614434" w:rsidR="00EC0A8A" w:rsidRDefault="00EC0A8A" w:rsidP="00EC0A8A">
      <w:pPr>
        <w:pStyle w:val="partmarks"/>
      </w:pPr>
      <w:r>
        <w:t>(4)</w:t>
      </w:r>
    </w:p>
    <w:p w14:paraId="67823CB4" w14:textId="6157585C" w:rsidR="0068702C" w:rsidRDefault="0068702C" w:rsidP="0068702C">
      <w:pPr>
        <w:pStyle w:val="answerlines"/>
      </w:pPr>
      <w:r>
        <w:tab/>
      </w:r>
    </w:p>
    <w:p w14:paraId="6EE5AF1D" w14:textId="389C8895" w:rsidR="0068702C" w:rsidRDefault="0068702C" w:rsidP="0068702C">
      <w:pPr>
        <w:pStyle w:val="answerlines"/>
      </w:pPr>
      <w:r>
        <w:tab/>
      </w:r>
    </w:p>
    <w:p w14:paraId="68308196" w14:textId="13E9E256" w:rsidR="0068702C" w:rsidRDefault="0068702C" w:rsidP="0068702C">
      <w:pPr>
        <w:pStyle w:val="answerlines"/>
      </w:pPr>
      <w:r>
        <w:tab/>
      </w:r>
    </w:p>
    <w:p w14:paraId="0E9CB24B" w14:textId="7A61D50B" w:rsidR="0068702C" w:rsidRDefault="0068702C" w:rsidP="0068702C">
      <w:pPr>
        <w:pStyle w:val="answerlines"/>
      </w:pPr>
      <w:r>
        <w:tab/>
      </w:r>
    </w:p>
    <w:p w14:paraId="16370374" w14:textId="3BA90C41" w:rsidR="0068702C" w:rsidRDefault="0068702C" w:rsidP="0068702C">
      <w:pPr>
        <w:pStyle w:val="answerlines"/>
      </w:pPr>
      <w:r>
        <w:tab/>
      </w:r>
    </w:p>
    <w:p w14:paraId="5F47F759" w14:textId="11E8D945" w:rsidR="0068702C" w:rsidRDefault="0068702C" w:rsidP="0068702C">
      <w:pPr>
        <w:pStyle w:val="answerlines"/>
      </w:pPr>
      <w:r>
        <w:tab/>
      </w:r>
    </w:p>
    <w:p w14:paraId="2CE3E769" w14:textId="0B5F1E89" w:rsidR="0068702C" w:rsidRDefault="0068702C" w:rsidP="0068702C">
      <w:pPr>
        <w:pStyle w:val="answerlines"/>
      </w:pPr>
      <w:r>
        <w:tab/>
      </w:r>
    </w:p>
    <w:p w14:paraId="5B23169B" w14:textId="2396B3F3" w:rsidR="0068702C" w:rsidRDefault="0068702C" w:rsidP="0068702C">
      <w:pPr>
        <w:pStyle w:val="answerlines"/>
      </w:pPr>
      <w:r>
        <w:tab/>
      </w:r>
    </w:p>
    <w:p w14:paraId="67822D85" w14:textId="56C04BBC" w:rsidR="00804AB2" w:rsidRDefault="00804AB2" w:rsidP="00804AB2"/>
    <w:p w14:paraId="2A26412B" w14:textId="189EC83E" w:rsidR="00804AB2" w:rsidRDefault="00804AB2" w:rsidP="00804AB2"/>
    <w:p w14:paraId="1E74C027" w14:textId="7FFC5289" w:rsidR="00804AB2" w:rsidRDefault="00804AB2" w:rsidP="00804AB2"/>
    <w:p w14:paraId="0DF73EB8" w14:textId="612DD084" w:rsidR="00804AB2" w:rsidRDefault="00804AB2" w:rsidP="00804AB2"/>
    <w:p w14:paraId="35A53038" w14:textId="1D37AD23" w:rsidR="00804AB2" w:rsidRDefault="00804AB2" w:rsidP="00804AB2"/>
    <w:p w14:paraId="7BF9D48E" w14:textId="3A5C384F" w:rsidR="00804AB2" w:rsidRDefault="00804AB2" w:rsidP="00804AB2"/>
    <w:p w14:paraId="7EE8F7C0" w14:textId="4A7584C6" w:rsidR="00804AB2" w:rsidRDefault="00804AB2" w:rsidP="00804AB2"/>
    <w:p w14:paraId="19737BDF" w14:textId="7E63C89D" w:rsidR="00804AB2" w:rsidRDefault="00804AB2" w:rsidP="00804AB2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7513"/>
        <w:gridCol w:w="851"/>
      </w:tblGrid>
      <w:tr w:rsidR="00804AB2" w:rsidRPr="008C37E2" w14:paraId="33F46804" w14:textId="77777777" w:rsidTr="00326E4E">
        <w:trPr>
          <w:trHeight w:val="243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</w:tcPr>
          <w:p w14:paraId="02484A34" w14:textId="77777777" w:rsidR="00804AB2" w:rsidRPr="008C37E2" w:rsidRDefault="00804AB2" w:rsidP="00326E4E">
            <w:pPr>
              <w:pStyle w:val="Default"/>
              <w:rPr>
                <w:rFonts w:ascii="Verdana" w:hAnsi="Verdana" w:cs="Calibri"/>
                <w:color w:val="auto"/>
                <w:sz w:val="22"/>
                <w:szCs w:val="22"/>
              </w:rPr>
            </w:pPr>
            <w:r w:rsidRPr="008C37E2">
              <w:rPr>
                <w:rFonts w:ascii="Verdana" w:hAnsi="Verdana" w:cs="Calibri"/>
                <w:color w:val="auto"/>
                <w:sz w:val="22"/>
                <w:szCs w:val="22"/>
              </w:rPr>
              <w:t>Question Number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2A5369BC" w14:textId="77777777" w:rsidR="00804AB2" w:rsidRPr="008C37E2" w:rsidRDefault="00804AB2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 w:rsidRPr="008C37E2">
              <w:rPr>
                <w:rFonts w:ascii="Verdana" w:hAnsi="Verdana" w:cs="Calibri"/>
                <w:color w:val="211D1E"/>
                <w:sz w:val="22"/>
                <w:szCs w:val="22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5D0C17A8" w14:textId="77777777" w:rsidR="00804AB2" w:rsidRPr="008C37E2" w:rsidRDefault="00804AB2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 w:rsidRPr="008C37E2">
              <w:rPr>
                <w:rFonts w:ascii="Verdana" w:hAnsi="Verdana" w:cs="Calibri"/>
                <w:color w:val="211D1E"/>
                <w:sz w:val="22"/>
                <w:szCs w:val="22"/>
              </w:rPr>
              <w:t xml:space="preserve">Mark </w:t>
            </w:r>
          </w:p>
        </w:tc>
      </w:tr>
      <w:tr w:rsidR="00804AB2" w:rsidRPr="008C37E2" w14:paraId="72F6FC36" w14:textId="77777777" w:rsidTr="00326E4E">
        <w:trPr>
          <w:trHeight w:val="1577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42472F14" w14:textId="77777777" w:rsidR="00804AB2" w:rsidRPr="008C37E2" w:rsidRDefault="00804AB2" w:rsidP="00326E4E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8C37E2">
              <w:rPr>
                <w:rFonts w:ascii="Verdana" w:hAnsi="Verdana" w:cs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3FE5F300" w14:textId="77777777" w:rsidR="00804AB2" w:rsidRPr="008C37E2" w:rsidRDefault="00804AB2" w:rsidP="00326E4E">
            <w:pPr>
              <w:spacing w:after="0" w:line="240" w:lineRule="atLeast"/>
              <w:jc w:val="center"/>
              <w:rPr>
                <w:rFonts w:ascii="Verdana" w:hAnsi="Verdana"/>
                <w:b/>
                <w:bCs/>
                <w:color w:val="211D1E"/>
              </w:rPr>
            </w:pPr>
            <w:r w:rsidRPr="008C37E2">
              <w:rPr>
                <w:rFonts w:ascii="Verdana" w:hAnsi="Verdana"/>
                <w:b/>
                <w:bCs/>
                <w:color w:val="211D1E"/>
              </w:rPr>
              <w:t xml:space="preserve">Knowledge 1, Application 3 </w:t>
            </w:r>
          </w:p>
          <w:p w14:paraId="73A80D94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111DEB04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</w:rPr>
              <w:t>Quantitative skills assessed:</w:t>
            </w:r>
          </w:p>
          <w:p w14:paraId="43CDC2DB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47B9338F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  <w:b/>
              </w:rPr>
              <w:t xml:space="preserve">QS1: </w:t>
            </w:r>
            <w:r w:rsidRPr="008C37E2">
              <w:rPr>
                <w:rFonts w:ascii="Verdana" w:hAnsi="Verdana"/>
              </w:rPr>
              <w:t>calculate, use and understand ratios, averages and fractions</w:t>
            </w:r>
          </w:p>
          <w:p w14:paraId="26FBD349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  <w:b/>
              </w:rPr>
              <w:t xml:space="preserve">QS2: </w:t>
            </w:r>
            <w:r w:rsidRPr="008C37E2">
              <w:rPr>
                <w:rFonts w:ascii="Verdana" w:hAnsi="Verdana"/>
              </w:rPr>
              <w:t>calculate, use and understand percentages and percentage changes</w:t>
            </w:r>
          </w:p>
          <w:p w14:paraId="25E5654C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  <w:b/>
              </w:rPr>
              <w:t xml:space="preserve">QS6: </w:t>
            </w:r>
            <w:r w:rsidRPr="008C37E2">
              <w:rPr>
                <w:rFonts w:ascii="Verdana" w:hAnsi="Verdana"/>
              </w:rPr>
              <w:t>calculate investment appraisal outcomes and interpret results</w:t>
            </w:r>
          </w:p>
          <w:p w14:paraId="6C6BDCEA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0106E1B7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  <w:b/>
              </w:rPr>
              <w:t xml:space="preserve">Knowledge:  1 mark for </w:t>
            </w:r>
            <w:r w:rsidRPr="008C37E2">
              <w:rPr>
                <w:rFonts w:ascii="Verdana" w:hAnsi="Verdana"/>
              </w:rPr>
              <w:t>identifying the formula for calculating Average Rate of Return:</w:t>
            </w:r>
          </w:p>
          <w:p w14:paraId="000DE1C1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2F9A6C67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</w:rPr>
              <w:t>average annual return/initial cost x 100 (can be implied)</w:t>
            </w:r>
          </w:p>
          <w:p w14:paraId="523D6EBD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19CE28AF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/>
              </w:rPr>
            </w:pPr>
            <w:r w:rsidRPr="008C37E2">
              <w:rPr>
                <w:rFonts w:ascii="Verdana" w:hAnsi="Verdana"/>
                <w:b/>
              </w:rPr>
              <w:t>Application: up to 3 marks for</w:t>
            </w:r>
          </w:p>
          <w:p w14:paraId="14FB7F78" w14:textId="77777777" w:rsidR="00804AB2" w:rsidRPr="008C37E2" w:rsidRDefault="00804AB2" w:rsidP="00804AB2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ind w:right="431"/>
              <w:rPr>
                <w:rFonts w:ascii="Verdana" w:hAnsi="Verdana"/>
                <w:b/>
              </w:rPr>
            </w:pPr>
            <w:r w:rsidRPr="008C37E2">
              <w:rPr>
                <w:rFonts w:ascii="Verdana" w:hAnsi="Verdana"/>
              </w:rPr>
              <w:t>Total return</w:t>
            </w:r>
            <w:r w:rsidRPr="008C37E2">
              <w:rPr>
                <w:rFonts w:ascii="Verdana" w:hAnsi="Verdana"/>
                <w:b/>
              </w:rPr>
              <w:t xml:space="preserve"> =  </w:t>
            </w:r>
            <w:r w:rsidRPr="008C37E2">
              <w:rPr>
                <w:rFonts w:ascii="Verdana" w:hAnsi="Verdana"/>
              </w:rPr>
              <w:t>216 – 4 = 212</w:t>
            </w:r>
            <w:r w:rsidRPr="008C37E2">
              <w:rPr>
                <w:rFonts w:ascii="Verdana" w:hAnsi="Verdana"/>
                <w:b/>
              </w:rPr>
              <w:t xml:space="preserve">                                                                          </w:t>
            </w:r>
          </w:p>
          <w:p w14:paraId="0F55D36C" w14:textId="77777777" w:rsidR="00804AB2" w:rsidRPr="008C37E2" w:rsidRDefault="00804AB2" w:rsidP="00804AB2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ind w:right="431"/>
              <w:rPr>
                <w:rFonts w:ascii="Verdana" w:hAnsi="Verdana"/>
                <w:b/>
              </w:rPr>
            </w:pPr>
            <w:r w:rsidRPr="008C37E2">
              <w:rPr>
                <w:rFonts w:ascii="Verdana" w:hAnsi="Verdana"/>
              </w:rPr>
              <w:t>Average annual return = 212/2 = 106</w:t>
            </w:r>
          </w:p>
          <w:p w14:paraId="6A9C8BE1" w14:textId="77777777" w:rsidR="00804AB2" w:rsidRPr="008C37E2" w:rsidRDefault="00804AB2" w:rsidP="00804AB2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</w:rPr>
              <w:t>ARR = 106/4 X 100 = 2650%</w:t>
            </w:r>
          </w:p>
          <w:p w14:paraId="12AF390B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672C0999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8C37E2">
              <w:rPr>
                <w:rFonts w:ascii="Verdana" w:hAnsi="Verdana"/>
              </w:rPr>
              <w:t>NB: if the only answer given is 2650% award 4 marks</w:t>
            </w:r>
          </w:p>
          <w:p w14:paraId="1F79320A" w14:textId="77777777" w:rsidR="00804AB2" w:rsidRPr="008C37E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vAlign w:val="center"/>
          </w:tcPr>
          <w:p w14:paraId="07815BFD" w14:textId="77777777" w:rsidR="00804AB2" w:rsidRPr="008C37E2" w:rsidRDefault="00804AB2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</w:p>
          <w:p w14:paraId="08B2AECA" w14:textId="77777777" w:rsidR="00804AB2" w:rsidRPr="008C37E2" w:rsidRDefault="00804AB2" w:rsidP="00326E4E">
            <w:pPr>
              <w:rPr>
                <w:rFonts w:ascii="Verdana" w:hAnsi="Verdana"/>
              </w:rPr>
            </w:pPr>
          </w:p>
          <w:p w14:paraId="49E81F7F" w14:textId="77777777" w:rsidR="00804AB2" w:rsidRPr="008C37E2" w:rsidRDefault="00804AB2" w:rsidP="00326E4E">
            <w:pPr>
              <w:rPr>
                <w:rFonts w:ascii="Verdana" w:hAnsi="Verdana"/>
              </w:rPr>
            </w:pPr>
          </w:p>
          <w:p w14:paraId="690D3A1A" w14:textId="77777777" w:rsidR="00804AB2" w:rsidRPr="008C37E2" w:rsidRDefault="00804AB2" w:rsidP="00326E4E">
            <w:pPr>
              <w:rPr>
                <w:rFonts w:ascii="Verdana" w:hAnsi="Verdana"/>
              </w:rPr>
            </w:pPr>
          </w:p>
          <w:p w14:paraId="3B7AF806" w14:textId="77777777" w:rsidR="00804AB2" w:rsidRPr="008C37E2" w:rsidRDefault="00804AB2" w:rsidP="00326E4E">
            <w:pPr>
              <w:rPr>
                <w:rFonts w:ascii="Verdana" w:hAnsi="Verdana"/>
              </w:rPr>
            </w:pPr>
          </w:p>
          <w:p w14:paraId="7789CC54" w14:textId="77777777" w:rsidR="00804AB2" w:rsidRPr="008C37E2" w:rsidRDefault="00804AB2" w:rsidP="00326E4E">
            <w:pPr>
              <w:rPr>
                <w:rFonts w:ascii="Verdana" w:hAnsi="Verdana"/>
              </w:rPr>
            </w:pPr>
          </w:p>
          <w:p w14:paraId="7C709DA9" w14:textId="77777777" w:rsidR="00804AB2" w:rsidRPr="008C37E2" w:rsidRDefault="00804AB2" w:rsidP="00326E4E">
            <w:pPr>
              <w:rPr>
                <w:rFonts w:ascii="Verdana" w:hAnsi="Verdana"/>
              </w:rPr>
            </w:pPr>
          </w:p>
          <w:p w14:paraId="075D5303" w14:textId="77777777" w:rsidR="00804AB2" w:rsidRPr="008C37E2" w:rsidRDefault="00804AB2" w:rsidP="00326E4E">
            <w:pPr>
              <w:rPr>
                <w:rFonts w:ascii="Verdana" w:hAnsi="Verdana"/>
                <w:b/>
              </w:rPr>
            </w:pPr>
          </w:p>
          <w:p w14:paraId="22463BE2" w14:textId="77777777" w:rsidR="00804AB2" w:rsidRPr="008C37E2" w:rsidRDefault="00804AB2" w:rsidP="00326E4E">
            <w:pPr>
              <w:rPr>
                <w:rFonts w:ascii="Verdana" w:hAnsi="Verdana"/>
                <w:b/>
              </w:rPr>
            </w:pPr>
          </w:p>
          <w:p w14:paraId="7B7423DD" w14:textId="77777777" w:rsidR="00804AB2" w:rsidRPr="008C37E2" w:rsidRDefault="00804AB2" w:rsidP="00326E4E">
            <w:pPr>
              <w:rPr>
                <w:rFonts w:ascii="Verdana" w:hAnsi="Verdana"/>
                <w:b/>
              </w:rPr>
            </w:pPr>
          </w:p>
          <w:p w14:paraId="3190E287" w14:textId="77777777" w:rsidR="00804AB2" w:rsidRPr="008C37E2" w:rsidRDefault="00804AB2" w:rsidP="00326E4E">
            <w:pPr>
              <w:rPr>
                <w:rFonts w:ascii="Verdana" w:hAnsi="Verdana"/>
                <w:b/>
              </w:rPr>
            </w:pPr>
          </w:p>
          <w:p w14:paraId="1E4F17A8" w14:textId="77777777" w:rsidR="00804AB2" w:rsidRPr="008C37E2" w:rsidRDefault="00804AB2" w:rsidP="00326E4E">
            <w:pPr>
              <w:rPr>
                <w:rFonts w:ascii="Verdana" w:hAnsi="Verdana"/>
                <w:b/>
              </w:rPr>
            </w:pPr>
          </w:p>
          <w:p w14:paraId="5B4B4DDD" w14:textId="77777777" w:rsidR="00804AB2" w:rsidRPr="008C37E2" w:rsidRDefault="00804AB2" w:rsidP="00326E4E">
            <w:pPr>
              <w:rPr>
                <w:rFonts w:ascii="Verdana" w:hAnsi="Verdana"/>
                <w:b/>
              </w:rPr>
            </w:pPr>
            <w:r w:rsidRPr="008C37E2">
              <w:rPr>
                <w:rFonts w:ascii="Verdana" w:hAnsi="Verdana"/>
                <w:b/>
              </w:rPr>
              <w:t>(4)</w:t>
            </w:r>
          </w:p>
        </w:tc>
      </w:tr>
    </w:tbl>
    <w:p w14:paraId="10FD1C50" w14:textId="56558415" w:rsidR="00804AB2" w:rsidRDefault="00804AB2" w:rsidP="00804AB2">
      <w:pPr>
        <w:rPr>
          <w:rFonts w:ascii="Verdana" w:hAnsi="Verdana"/>
        </w:rPr>
      </w:pPr>
    </w:p>
    <w:p w14:paraId="29B90A53" w14:textId="3ACDCCD2" w:rsidR="00804AB2" w:rsidRDefault="00804AB2" w:rsidP="00804AB2">
      <w:pPr>
        <w:rPr>
          <w:rFonts w:ascii="Verdana" w:hAnsi="Verdana"/>
        </w:rPr>
      </w:pPr>
    </w:p>
    <w:p w14:paraId="043776C0" w14:textId="5ED34AC9" w:rsidR="00804AB2" w:rsidRDefault="00804AB2" w:rsidP="00804AB2">
      <w:pPr>
        <w:rPr>
          <w:rFonts w:ascii="Verdana" w:hAnsi="Verdana"/>
        </w:rPr>
      </w:pPr>
    </w:p>
    <w:p w14:paraId="6AE8F335" w14:textId="05C73191" w:rsidR="00804AB2" w:rsidRDefault="00804AB2" w:rsidP="00804AB2">
      <w:pPr>
        <w:rPr>
          <w:rFonts w:ascii="Verdana" w:hAnsi="Verdana"/>
        </w:rPr>
      </w:pPr>
    </w:p>
    <w:p w14:paraId="45C53E26" w14:textId="3AEE13AB" w:rsidR="00804AB2" w:rsidRDefault="00804AB2" w:rsidP="00804AB2">
      <w:pPr>
        <w:rPr>
          <w:rFonts w:ascii="Verdana" w:hAnsi="Verdana"/>
        </w:rPr>
      </w:pPr>
    </w:p>
    <w:p w14:paraId="5A75551F" w14:textId="624F6379" w:rsidR="00804AB2" w:rsidRDefault="00804AB2" w:rsidP="00804AB2">
      <w:pPr>
        <w:rPr>
          <w:rFonts w:ascii="Verdana" w:hAnsi="Verdana"/>
        </w:rPr>
      </w:pPr>
    </w:p>
    <w:p w14:paraId="1AA7F14D" w14:textId="37E0D05E" w:rsidR="00804AB2" w:rsidRDefault="00804AB2" w:rsidP="00804AB2">
      <w:pPr>
        <w:rPr>
          <w:rFonts w:ascii="Verdana" w:hAnsi="Verdana"/>
        </w:rPr>
      </w:pPr>
    </w:p>
    <w:p w14:paraId="46A6853B" w14:textId="7D521587" w:rsidR="00804AB2" w:rsidRDefault="00804AB2" w:rsidP="00804AB2">
      <w:pPr>
        <w:rPr>
          <w:rFonts w:ascii="Verdana" w:hAnsi="Verdana"/>
        </w:rPr>
      </w:pPr>
    </w:p>
    <w:p w14:paraId="5110C7DD" w14:textId="0BD051D0" w:rsidR="00804AB2" w:rsidRDefault="00804AB2" w:rsidP="00804AB2">
      <w:pPr>
        <w:rPr>
          <w:rFonts w:ascii="Verdana" w:hAnsi="Verdana"/>
        </w:rPr>
      </w:pPr>
    </w:p>
    <w:p w14:paraId="51DF5AF3" w14:textId="00B0F393" w:rsidR="00804AB2" w:rsidRDefault="00804AB2" w:rsidP="00804AB2">
      <w:pPr>
        <w:rPr>
          <w:rFonts w:ascii="Verdana" w:hAnsi="Verdana"/>
        </w:rPr>
      </w:pPr>
    </w:p>
    <w:p w14:paraId="1F7CF2F8" w14:textId="1781E026" w:rsidR="00804AB2" w:rsidRDefault="00804AB2" w:rsidP="00804AB2">
      <w:pPr>
        <w:rPr>
          <w:rFonts w:ascii="Verdana" w:hAnsi="Verdana"/>
        </w:rPr>
      </w:pPr>
    </w:p>
    <w:p w14:paraId="6C80DECB" w14:textId="26EFF0CB" w:rsidR="00804AB2" w:rsidRDefault="00804AB2" w:rsidP="00804AB2">
      <w:pPr>
        <w:rPr>
          <w:rFonts w:ascii="Verdana" w:hAnsi="Verdana"/>
        </w:rPr>
      </w:pPr>
    </w:p>
    <w:p w14:paraId="5DF57249" w14:textId="2C2E52DB" w:rsidR="00804AB2" w:rsidRDefault="00804AB2" w:rsidP="00804AB2">
      <w:pPr>
        <w:rPr>
          <w:rFonts w:ascii="Verdana" w:hAnsi="Verdana"/>
        </w:rPr>
      </w:pPr>
    </w:p>
    <w:p w14:paraId="082D6A76" w14:textId="5159EE9B" w:rsidR="00804AB2" w:rsidRDefault="00804AB2" w:rsidP="00804AB2">
      <w:pPr>
        <w:rPr>
          <w:rFonts w:ascii="Verdana" w:hAnsi="Verdana"/>
        </w:rPr>
      </w:pPr>
    </w:p>
    <w:p w14:paraId="0223A3ED" w14:textId="77777777" w:rsidR="00804AB2" w:rsidRPr="008C37E2" w:rsidRDefault="00804AB2" w:rsidP="00804AB2">
      <w:pPr>
        <w:rPr>
          <w:rFonts w:ascii="Verdana" w:hAnsi="Verdan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7513"/>
        <w:gridCol w:w="851"/>
      </w:tblGrid>
      <w:tr w:rsidR="00804AB2" w:rsidRPr="008C37E2" w14:paraId="4245406A" w14:textId="77777777" w:rsidTr="00326E4E">
        <w:trPr>
          <w:trHeight w:val="243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</w:tcPr>
          <w:p w14:paraId="5933EAA0" w14:textId="77777777" w:rsidR="00804AB2" w:rsidRPr="008C37E2" w:rsidRDefault="00804AB2" w:rsidP="00326E4E">
            <w:pPr>
              <w:pStyle w:val="Default"/>
              <w:rPr>
                <w:rFonts w:ascii="Verdana" w:hAnsi="Verdana" w:cs="Open Sans"/>
                <w:color w:val="auto"/>
                <w:sz w:val="22"/>
                <w:szCs w:val="22"/>
              </w:rPr>
            </w:pPr>
            <w:r w:rsidRPr="008C37E2">
              <w:rPr>
                <w:rFonts w:ascii="Verdana" w:hAnsi="Verdana" w:cs="Open Sans"/>
                <w:color w:val="auto"/>
                <w:sz w:val="22"/>
                <w:szCs w:val="22"/>
              </w:rPr>
              <w:lastRenderedPageBreak/>
              <w:t>Question Number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37BCD37E" w14:textId="77777777" w:rsidR="00804AB2" w:rsidRPr="008C37E2" w:rsidRDefault="00804AB2" w:rsidP="00326E4E">
            <w:pPr>
              <w:pStyle w:val="Default"/>
              <w:rPr>
                <w:rFonts w:ascii="Verdana" w:hAnsi="Verdana" w:cs="Open Sans"/>
                <w:color w:val="211D1E"/>
                <w:sz w:val="22"/>
                <w:szCs w:val="22"/>
              </w:rPr>
            </w:pPr>
            <w:r w:rsidRPr="008C37E2">
              <w:rPr>
                <w:rFonts w:ascii="Verdana" w:hAnsi="Verdana" w:cs="Open Sans"/>
                <w:color w:val="211D1E"/>
                <w:sz w:val="22"/>
                <w:szCs w:val="22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620A5AAB" w14:textId="77777777" w:rsidR="00804AB2" w:rsidRPr="008C37E2" w:rsidRDefault="00804AB2" w:rsidP="00326E4E">
            <w:pPr>
              <w:pStyle w:val="Default"/>
              <w:rPr>
                <w:rFonts w:ascii="Verdana" w:hAnsi="Verdana" w:cs="Open Sans"/>
                <w:color w:val="211D1E"/>
                <w:sz w:val="22"/>
                <w:szCs w:val="22"/>
              </w:rPr>
            </w:pPr>
            <w:r w:rsidRPr="008C37E2">
              <w:rPr>
                <w:rFonts w:ascii="Verdana" w:hAnsi="Verdana" w:cs="Open Sans"/>
                <w:color w:val="211D1E"/>
                <w:sz w:val="22"/>
                <w:szCs w:val="22"/>
              </w:rPr>
              <w:t xml:space="preserve">Mark </w:t>
            </w:r>
          </w:p>
        </w:tc>
      </w:tr>
      <w:tr w:rsidR="00804AB2" w:rsidRPr="008C37E2" w14:paraId="3F5AF0FB" w14:textId="77777777" w:rsidTr="00326E4E">
        <w:trPr>
          <w:trHeight w:val="1408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75C50ABB" w14:textId="77777777" w:rsidR="00804AB2" w:rsidRPr="008C37E2" w:rsidRDefault="00804AB2" w:rsidP="00326E4E">
            <w:pPr>
              <w:pStyle w:val="Default"/>
              <w:rPr>
                <w:rFonts w:ascii="Verdana" w:hAnsi="Verdana" w:cs="Open Sans"/>
                <w:b/>
                <w:color w:val="auto"/>
                <w:sz w:val="22"/>
                <w:szCs w:val="22"/>
              </w:rPr>
            </w:pPr>
            <w:r w:rsidRPr="008C37E2">
              <w:rPr>
                <w:rFonts w:ascii="Verdana" w:hAnsi="Verdana" w:cs="Open Sans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23399B2D" w14:textId="77777777" w:rsidR="00804AB2" w:rsidRPr="008C37E2" w:rsidRDefault="00804AB2" w:rsidP="00326E4E">
            <w:pPr>
              <w:spacing w:line="240" w:lineRule="atLeast"/>
              <w:jc w:val="center"/>
              <w:rPr>
                <w:rFonts w:ascii="Verdana" w:hAnsi="Verdana" w:cs="Open Sans"/>
                <w:b/>
                <w:bCs/>
                <w:color w:val="211D1E"/>
              </w:rPr>
            </w:pPr>
            <w:r w:rsidRPr="008C37E2">
              <w:rPr>
                <w:rFonts w:ascii="Verdana" w:hAnsi="Verdana" w:cs="Open Sans"/>
                <w:b/>
                <w:bCs/>
                <w:color w:val="211D1E"/>
              </w:rPr>
              <w:t xml:space="preserve">Knowledge 1, Application 3 </w:t>
            </w:r>
          </w:p>
          <w:p w14:paraId="7402CEE8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</w:rPr>
              <w:t>Quantitative skills assessed:</w:t>
            </w:r>
          </w:p>
          <w:p w14:paraId="2AC89803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  <w:b/>
              </w:rPr>
              <w:t xml:space="preserve">QS3: </w:t>
            </w:r>
            <w:r w:rsidRPr="008C37E2">
              <w:rPr>
                <w:rFonts w:ascii="Verdana" w:hAnsi="Verdana" w:cs="Open Sans"/>
              </w:rPr>
              <w:t>construct and interpret a range of standard graphical forms</w:t>
            </w:r>
          </w:p>
          <w:p w14:paraId="6C7C7D22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  <w:b/>
              </w:rPr>
              <w:t xml:space="preserve">QS8: </w:t>
            </w:r>
            <w:r w:rsidRPr="008C37E2">
              <w:rPr>
                <w:rFonts w:ascii="Verdana" w:hAnsi="Verdana" w:cs="Open Sans"/>
              </w:rPr>
              <w:t>use and interpret quantitative and non-quantitative information in order to make decisions</w:t>
            </w:r>
          </w:p>
          <w:p w14:paraId="7ED97D94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  <w:b/>
              </w:rPr>
              <w:t xml:space="preserve">Knowledge:  1 mark for </w:t>
            </w:r>
            <w:r w:rsidRPr="008C37E2">
              <w:rPr>
                <w:rFonts w:ascii="Verdana" w:hAnsi="Verdana" w:cs="Open Sans"/>
              </w:rPr>
              <w:t>an understanding of net gain expected value – initial cost (this can be implied)</w:t>
            </w:r>
          </w:p>
          <w:p w14:paraId="78B39D42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  <w:b/>
              </w:rPr>
            </w:pPr>
            <w:r w:rsidRPr="008C37E2">
              <w:rPr>
                <w:rFonts w:ascii="Verdana" w:hAnsi="Verdana" w:cs="Open Sans"/>
                <w:b/>
              </w:rPr>
              <w:t>Application: up to 3 marks for:</w:t>
            </w:r>
            <w:r w:rsidRPr="008C37E2">
              <w:rPr>
                <w:rFonts w:ascii="Verdana" w:hAnsi="Verdana" w:cs="Open Sans"/>
              </w:rPr>
              <w:t xml:space="preserve">                                            </w:t>
            </w:r>
          </w:p>
          <w:p w14:paraId="1DA4EEFB" w14:textId="77777777" w:rsidR="00804AB2" w:rsidRPr="008C37E2" w:rsidRDefault="00804AB2" w:rsidP="00804AB2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</w:rPr>
              <w:t>Marketing campaign: (0.6 x £3 million) = £1.8 million         (0.4 x -£50,000) = - £20,000</w:t>
            </w:r>
          </w:p>
          <w:p w14:paraId="5B70CC5A" w14:textId="77777777" w:rsidR="00804AB2" w:rsidRPr="008C37E2" w:rsidRDefault="00804AB2" w:rsidP="00804AB2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</w:rPr>
              <w:t>Expected value: £1.8 million - £20,000 = £1.78 million</w:t>
            </w:r>
          </w:p>
          <w:p w14:paraId="115C893E" w14:textId="77777777" w:rsidR="00804AB2" w:rsidRPr="008C37E2" w:rsidRDefault="00804AB2" w:rsidP="00804AB2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</w:rPr>
              <w:t>Net gain: £1.78 million - £360,000 = £1.42 million</w:t>
            </w:r>
          </w:p>
          <w:p w14:paraId="2609BC42" w14:textId="77777777" w:rsidR="00804AB2" w:rsidRPr="008C37E2" w:rsidRDefault="00804AB2" w:rsidP="00326E4E">
            <w:pPr>
              <w:pStyle w:val="ListParagraph"/>
              <w:spacing w:line="240" w:lineRule="atLeast"/>
              <w:ind w:right="431"/>
              <w:rPr>
                <w:rFonts w:ascii="Verdana" w:hAnsi="Verdana" w:cs="Open Sans"/>
              </w:rPr>
            </w:pPr>
          </w:p>
          <w:p w14:paraId="5E87F44F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  <w:b/>
              </w:rPr>
              <w:t xml:space="preserve">NB: </w:t>
            </w:r>
            <w:r w:rsidRPr="008C37E2">
              <w:rPr>
                <w:rFonts w:ascii="Verdana" w:hAnsi="Verdana" w:cs="Open Sans"/>
              </w:rPr>
              <w:t>Award 4 marks if candidate only states £1.42 m/1.42 million</w:t>
            </w:r>
          </w:p>
          <w:p w14:paraId="20B46DB7" w14:textId="77777777" w:rsidR="00804AB2" w:rsidRPr="008C37E2" w:rsidRDefault="00804AB2" w:rsidP="00326E4E">
            <w:pPr>
              <w:spacing w:line="240" w:lineRule="atLeast"/>
              <w:ind w:right="431"/>
              <w:rPr>
                <w:rFonts w:ascii="Verdana" w:hAnsi="Verdana" w:cs="Open Sans"/>
              </w:rPr>
            </w:pPr>
            <w:r w:rsidRPr="008C37E2">
              <w:rPr>
                <w:rFonts w:ascii="Verdana" w:hAnsi="Verdana" w:cs="Open Sans"/>
              </w:rPr>
              <w:t>Award only 3 marks if candidate only states £1.4 m/1.4 million</w:t>
            </w: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vAlign w:val="center"/>
          </w:tcPr>
          <w:p w14:paraId="44E1D85A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2735CA7D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55A5F66D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5AEB8558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18676154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510D9D9E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1264A8E4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3AAFFB49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0C47EBCD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3E2DC781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7D4B63E5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504445B2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</w:p>
          <w:p w14:paraId="6632A118" w14:textId="77777777" w:rsidR="00804AB2" w:rsidRPr="008C37E2" w:rsidRDefault="00804AB2" w:rsidP="00326E4E">
            <w:pPr>
              <w:rPr>
                <w:rFonts w:ascii="Verdana" w:hAnsi="Verdana" w:cs="Open Sans"/>
                <w:b/>
              </w:rPr>
            </w:pPr>
            <w:r w:rsidRPr="008C37E2">
              <w:rPr>
                <w:rFonts w:ascii="Verdana" w:hAnsi="Verdana" w:cs="Open Sans"/>
                <w:b/>
              </w:rPr>
              <w:t>(4)</w:t>
            </w:r>
          </w:p>
        </w:tc>
      </w:tr>
    </w:tbl>
    <w:p w14:paraId="1EDBB02B" w14:textId="77777777" w:rsidR="00804AB2" w:rsidRDefault="00804AB2" w:rsidP="00804AB2"/>
    <w:p w14:paraId="6D021312" w14:textId="77777777" w:rsidR="00804AB2" w:rsidRDefault="00804AB2" w:rsidP="00804AB2"/>
    <w:p w14:paraId="03A29540" w14:textId="77777777" w:rsidR="00804AB2" w:rsidRDefault="00804AB2" w:rsidP="00804AB2"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7956"/>
        <w:gridCol w:w="833"/>
      </w:tblGrid>
      <w:tr w:rsidR="00804AB2" w:rsidRPr="00B068BD" w14:paraId="60491AE0" w14:textId="77777777" w:rsidTr="4B1D1AFA">
        <w:trPr>
          <w:trHeight w:val="243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</w:tcPr>
          <w:p w14:paraId="0F446788" w14:textId="77777777" w:rsidR="00804AB2" w:rsidRPr="00B068BD" w:rsidRDefault="00804AB2" w:rsidP="00326E4E">
            <w:pPr>
              <w:pStyle w:val="Default"/>
              <w:rPr>
                <w:rFonts w:ascii="Verdana" w:hAnsi="Verdana" w:cs="Calibri"/>
                <w:color w:val="auto"/>
                <w:sz w:val="22"/>
                <w:szCs w:val="22"/>
              </w:rPr>
            </w:pPr>
            <w:r w:rsidRPr="00B068BD">
              <w:rPr>
                <w:rFonts w:ascii="Verdana" w:hAnsi="Verdana" w:cs="Calibri"/>
                <w:color w:val="auto"/>
                <w:sz w:val="22"/>
                <w:szCs w:val="22"/>
              </w:rPr>
              <w:lastRenderedPageBreak/>
              <w:t>Question Number</w:t>
            </w:r>
          </w:p>
        </w:tc>
        <w:tc>
          <w:tcPr>
            <w:tcW w:w="7956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4E44977C" w14:textId="77777777" w:rsidR="00804AB2" w:rsidRPr="00B068BD" w:rsidRDefault="00804AB2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>
              <w:rPr>
                <w:rFonts w:ascii="Verdana" w:hAnsi="Verdana" w:cs="Calibri"/>
                <w:color w:val="211D1E"/>
                <w:sz w:val="22"/>
                <w:szCs w:val="22"/>
              </w:rPr>
              <w:t>Answer</w:t>
            </w:r>
          </w:p>
        </w:tc>
        <w:tc>
          <w:tcPr>
            <w:tcW w:w="83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38744A09" w14:textId="77777777" w:rsidR="00804AB2" w:rsidRPr="00B068BD" w:rsidRDefault="00804AB2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 w:rsidRPr="00B068BD">
              <w:rPr>
                <w:rFonts w:ascii="Verdana" w:hAnsi="Verdana" w:cs="Calibri"/>
                <w:color w:val="211D1E"/>
                <w:sz w:val="22"/>
                <w:szCs w:val="22"/>
              </w:rPr>
              <w:t xml:space="preserve">Mark </w:t>
            </w:r>
          </w:p>
        </w:tc>
      </w:tr>
      <w:tr w:rsidR="00804AB2" w:rsidRPr="00B91B38" w14:paraId="1F5AFCFB" w14:textId="77777777" w:rsidTr="4B1D1AFA">
        <w:trPr>
          <w:trHeight w:val="9368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6F98FAE2" w14:textId="77777777" w:rsidR="00804AB2" w:rsidRPr="00B068BD" w:rsidRDefault="00804AB2" w:rsidP="00326E4E">
            <w:pPr>
              <w:spacing w:after="0" w:line="240" w:lineRule="atLeast"/>
              <w:ind w:right="431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3</w:t>
            </w:r>
          </w:p>
        </w:tc>
        <w:tc>
          <w:tcPr>
            <w:tcW w:w="7956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5ADDA570" w14:textId="77777777" w:rsidR="00804AB2" w:rsidRDefault="00804AB2" w:rsidP="00326E4E">
            <w:pPr>
              <w:spacing w:after="0" w:line="240" w:lineRule="atLeast"/>
              <w:jc w:val="center"/>
              <w:rPr>
                <w:rFonts w:ascii="Verdana" w:hAnsi="Verdana"/>
                <w:b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 xml:space="preserve">Knowledge 1, Application 3 </w:t>
            </w:r>
          </w:p>
          <w:p w14:paraId="0420A4EA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736355B5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Quantitative skills assessed:</w:t>
            </w:r>
          </w:p>
          <w:p w14:paraId="44DC0381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477F445A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QS 3: </w:t>
            </w:r>
            <w:r>
              <w:rPr>
                <w:rFonts w:ascii="Verdana" w:hAnsi="Verdana"/>
              </w:rPr>
              <w:t>construct and interpret a range of standard graphical forms</w:t>
            </w:r>
          </w:p>
          <w:p w14:paraId="786E1E63" w14:textId="77777777" w:rsidR="00804AB2" w:rsidRPr="00A41164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QS 8: </w:t>
            </w:r>
            <w:r>
              <w:rPr>
                <w:rFonts w:ascii="Verdana" w:hAnsi="Verdana"/>
              </w:rPr>
              <w:t>use and interpret quantitative and non quantitative information in order to make decisions</w:t>
            </w:r>
          </w:p>
          <w:p w14:paraId="3390B92C" w14:textId="77777777" w:rsidR="00804AB2" w:rsidRPr="002E43CD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</w:p>
          <w:p w14:paraId="521C948A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2E43CD">
              <w:rPr>
                <w:rFonts w:ascii="Verdana" w:hAnsi="Verdana"/>
                <w:b/>
              </w:rPr>
              <w:t xml:space="preserve">Knowledge:  1 mark for </w:t>
            </w:r>
            <w:r w:rsidRPr="002E43CD">
              <w:rPr>
                <w:rFonts w:ascii="Verdana" w:hAnsi="Verdana"/>
              </w:rPr>
              <w:t>implicit understanding of</w:t>
            </w:r>
            <w:r>
              <w:rPr>
                <w:rFonts w:ascii="Verdana" w:hAnsi="Verdana"/>
              </w:rPr>
              <w:t xml:space="preserve"> network diagrams</w:t>
            </w:r>
          </w:p>
          <w:p w14:paraId="2D7B5DE2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E.g. at least 1 correct calculation of either EST or LFT</w:t>
            </w:r>
          </w:p>
          <w:p w14:paraId="70CD6238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</w:p>
          <w:p w14:paraId="123DE440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Application: 3 marks for:</w:t>
            </w:r>
          </w:p>
          <w:p w14:paraId="6B6A1FEC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695BC9" wp14:editId="7A30E356">
                  <wp:extent cx="4933316" cy="1619250"/>
                  <wp:effectExtent l="19050" t="0" r="63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316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7952C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/>
              </w:rPr>
            </w:pPr>
          </w:p>
          <w:p w14:paraId="78029D4F" w14:textId="77777777" w:rsidR="00804AB2" w:rsidRPr="00E5142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E51422">
              <w:rPr>
                <w:rFonts w:ascii="Verdana" w:hAnsi="Verdana"/>
              </w:rPr>
              <w:t>Circle 1: top 0, bottom 0</w:t>
            </w:r>
          </w:p>
          <w:p w14:paraId="1759E839" w14:textId="77777777" w:rsidR="00804AB2" w:rsidRPr="00E5142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E51422">
              <w:rPr>
                <w:rFonts w:ascii="Verdana" w:hAnsi="Verdana"/>
              </w:rPr>
              <w:t>Circle 2: top 3, bottom 3</w:t>
            </w:r>
          </w:p>
          <w:p w14:paraId="6F2E8462" w14:textId="77777777" w:rsidR="00804AB2" w:rsidRPr="00E5142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E51422">
              <w:rPr>
                <w:rFonts w:ascii="Verdana" w:hAnsi="Verdana"/>
              </w:rPr>
              <w:t>Circle 3: top 11, bottom 11</w:t>
            </w:r>
          </w:p>
          <w:p w14:paraId="66998DD9" w14:textId="77777777" w:rsidR="00804AB2" w:rsidRPr="00E5142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E51422">
              <w:rPr>
                <w:rFonts w:ascii="Verdana" w:hAnsi="Verdana"/>
              </w:rPr>
              <w:t>Circle 4: top 14, bottom 14</w:t>
            </w:r>
          </w:p>
          <w:p w14:paraId="2BE3AD8D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 w:rsidRPr="00E51422">
              <w:rPr>
                <w:rFonts w:ascii="Verdana" w:hAnsi="Verdana"/>
              </w:rPr>
              <w:t>Circle 5: top 18, bottom 18</w:t>
            </w:r>
          </w:p>
          <w:p w14:paraId="5885CD64" w14:textId="77777777" w:rsidR="00804AB2" w:rsidRPr="00C120B5" w:rsidRDefault="00804AB2" w:rsidP="00326E4E">
            <w:pPr>
              <w:spacing w:after="0" w:line="240" w:lineRule="atLeast"/>
              <w:ind w:right="4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(to be entered on a diagram)</w:t>
            </w:r>
          </w:p>
          <w:p w14:paraId="202566FF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/>
              </w:rPr>
            </w:pPr>
          </w:p>
          <w:p w14:paraId="55ED0D2B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 xml:space="preserve">1 mark </w:t>
            </w:r>
            <w:r>
              <w:rPr>
                <w:rFonts w:ascii="Verdana" w:hAnsi="Verdana"/>
                <w:bCs/>
                <w:color w:val="211D1E"/>
              </w:rPr>
              <w:t>for correct calculation of all ESTs for each node</w:t>
            </w:r>
          </w:p>
          <w:p w14:paraId="021EFDDF" w14:textId="77777777" w:rsidR="00804AB2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 w:rsidRPr="001F55EA">
              <w:rPr>
                <w:rFonts w:ascii="Verdana" w:hAnsi="Verdana"/>
                <w:b/>
                <w:bCs/>
                <w:color w:val="211D1E"/>
              </w:rPr>
              <w:t>1 mark</w:t>
            </w:r>
            <w:r>
              <w:rPr>
                <w:rFonts w:ascii="Verdana" w:hAnsi="Verdana"/>
                <w:bCs/>
                <w:color w:val="211D1E"/>
              </w:rPr>
              <w:t xml:space="preserve"> for correct calculation of all LFTs for each node</w:t>
            </w:r>
          </w:p>
          <w:p w14:paraId="2F4B0711" w14:textId="2C5478FD" w:rsidR="00804AB2" w:rsidRPr="00DA20DB" w:rsidRDefault="00804AB2" w:rsidP="00326E4E">
            <w:p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 xml:space="preserve">1 mark </w:t>
            </w:r>
            <w:r>
              <w:rPr>
                <w:rFonts w:ascii="Verdana" w:hAnsi="Verdana"/>
                <w:bCs/>
                <w:color w:val="211D1E"/>
              </w:rPr>
              <w:t>for identification of critical path A, C, F and H</w:t>
            </w:r>
          </w:p>
        </w:tc>
        <w:tc>
          <w:tcPr>
            <w:tcW w:w="83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vAlign w:val="center"/>
          </w:tcPr>
          <w:p w14:paraId="6C5ADCDB" w14:textId="77777777" w:rsidR="00804AB2" w:rsidRPr="003C14A1" w:rsidRDefault="00804AB2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</w:p>
          <w:p w14:paraId="74D7BAE9" w14:textId="77777777" w:rsidR="00804AB2" w:rsidRPr="003C14A1" w:rsidRDefault="00804AB2" w:rsidP="00326E4E"/>
          <w:p w14:paraId="132A7881" w14:textId="77777777" w:rsidR="00804AB2" w:rsidRPr="003C14A1" w:rsidRDefault="00804AB2" w:rsidP="00326E4E"/>
          <w:p w14:paraId="5F5DAA14" w14:textId="77777777" w:rsidR="00804AB2" w:rsidRPr="003C14A1" w:rsidRDefault="00804AB2" w:rsidP="00326E4E"/>
          <w:p w14:paraId="2752AA77" w14:textId="77777777" w:rsidR="00804AB2" w:rsidRPr="003C14A1" w:rsidRDefault="00804AB2" w:rsidP="00326E4E">
            <w:pPr>
              <w:rPr>
                <w:rFonts w:ascii="Verdana" w:hAnsi="Verdana"/>
              </w:rPr>
            </w:pPr>
          </w:p>
          <w:p w14:paraId="296271F8" w14:textId="77777777" w:rsidR="00804AB2" w:rsidRDefault="00804AB2" w:rsidP="00326E4E">
            <w:pPr>
              <w:rPr>
                <w:rFonts w:ascii="Verdana" w:hAnsi="Verdana"/>
              </w:rPr>
            </w:pPr>
          </w:p>
          <w:p w14:paraId="40BB0FA9" w14:textId="77777777" w:rsidR="00804AB2" w:rsidRPr="003C14A1" w:rsidRDefault="00804AB2" w:rsidP="00326E4E">
            <w:pPr>
              <w:rPr>
                <w:rFonts w:ascii="Verdana" w:hAnsi="Verdana"/>
              </w:rPr>
            </w:pPr>
          </w:p>
          <w:p w14:paraId="635494B1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3ED94363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2FFAF4D3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498EFD8C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0DA1B4DC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0FA41CF7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25F7D652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2FE5D02C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1E6FED4C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46EF30C2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612E6C80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4D05452A" w14:textId="77777777" w:rsidR="00804AB2" w:rsidRDefault="00804AB2" w:rsidP="00326E4E">
            <w:pPr>
              <w:rPr>
                <w:rFonts w:ascii="Verdana" w:hAnsi="Verdana"/>
                <w:b/>
              </w:rPr>
            </w:pPr>
          </w:p>
          <w:p w14:paraId="5E3B2DDA" w14:textId="77777777" w:rsidR="00804AB2" w:rsidRPr="00B91B38" w:rsidRDefault="00804AB2" w:rsidP="00326E4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(4)</w:t>
            </w:r>
          </w:p>
        </w:tc>
      </w:tr>
    </w:tbl>
    <w:p w14:paraId="00A7FB89" w14:textId="77777777" w:rsidR="00804AB2" w:rsidRDefault="00804AB2" w:rsidP="00804AB2"/>
    <w:p w14:paraId="55142E7D" w14:textId="77777777" w:rsidR="00804AB2" w:rsidRPr="00EC0A8A" w:rsidRDefault="00804AB2" w:rsidP="00804AB2"/>
    <w:sectPr w:rsidR="00804AB2" w:rsidRPr="00EC0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5B501" w14:textId="77777777" w:rsidR="00AE7770" w:rsidRDefault="00AE7770" w:rsidP="0077335C">
      <w:pPr>
        <w:spacing w:after="0" w:line="240" w:lineRule="auto"/>
      </w:pPr>
      <w:r>
        <w:separator/>
      </w:r>
    </w:p>
  </w:endnote>
  <w:endnote w:type="continuationSeparator" w:id="0">
    <w:p w14:paraId="10EAA1C5" w14:textId="77777777" w:rsidR="00AE7770" w:rsidRDefault="00AE7770" w:rsidP="0077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Myriad Pro Cond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26F1" w14:textId="77777777" w:rsidR="00AE7770" w:rsidRDefault="00AE7770" w:rsidP="0077335C">
      <w:pPr>
        <w:spacing w:after="0" w:line="240" w:lineRule="auto"/>
      </w:pPr>
      <w:r>
        <w:separator/>
      </w:r>
    </w:p>
  </w:footnote>
  <w:footnote w:type="continuationSeparator" w:id="0">
    <w:p w14:paraId="6158B72A" w14:textId="77777777" w:rsidR="00AE7770" w:rsidRDefault="00AE7770" w:rsidP="0077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87E"/>
    <w:multiLevelType w:val="hybridMultilevel"/>
    <w:tmpl w:val="D2A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0AB"/>
    <w:multiLevelType w:val="multilevel"/>
    <w:tmpl w:val="AF3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267D4"/>
    <w:multiLevelType w:val="hybridMultilevel"/>
    <w:tmpl w:val="0B7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D68F0"/>
    <w:multiLevelType w:val="multilevel"/>
    <w:tmpl w:val="26FC1B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9270CC"/>
    <w:multiLevelType w:val="hybridMultilevel"/>
    <w:tmpl w:val="9CAE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611B3"/>
    <w:multiLevelType w:val="multilevel"/>
    <w:tmpl w:val="A4A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2467CD"/>
    <w:multiLevelType w:val="multilevel"/>
    <w:tmpl w:val="E320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A556C"/>
    <w:multiLevelType w:val="multilevel"/>
    <w:tmpl w:val="8C50690C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87371D"/>
    <w:multiLevelType w:val="hybridMultilevel"/>
    <w:tmpl w:val="1478A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5C"/>
    <w:rsid w:val="000066A2"/>
    <w:rsid w:val="00007C26"/>
    <w:rsid w:val="00051EEC"/>
    <w:rsid w:val="000705B0"/>
    <w:rsid w:val="0007576A"/>
    <w:rsid w:val="00086E92"/>
    <w:rsid w:val="000C56F0"/>
    <w:rsid w:val="000E73D1"/>
    <w:rsid w:val="000F0A2D"/>
    <w:rsid w:val="00115B0D"/>
    <w:rsid w:val="0013521D"/>
    <w:rsid w:val="00142D6B"/>
    <w:rsid w:val="0015713C"/>
    <w:rsid w:val="00164E9A"/>
    <w:rsid w:val="001823C2"/>
    <w:rsid w:val="001A65A4"/>
    <w:rsid w:val="001B0FDB"/>
    <w:rsid w:val="001B256A"/>
    <w:rsid w:val="001B2B8A"/>
    <w:rsid w:val="001D1CF6"/>
    <w:rsid w:val="001E0797"/>
    <w:rsid w:val="0020054D"/>
    <w:rsid w:val="00226B6B"/>
    <w:rsid w:val="0023277C"/>
    <w:rsid w:val="00235CEF"/>
    <w:rsid w:val="002966DF"/>
    <w:rsid w:val="002A450C"/>
    <w:rsid w:val="002B1A1C"/>
    <w:rsid w:val="002C496F"/>
    <w:rsid w:val="002D6FE7"/>
    <w:rsid w:val="002F6CCA"/>
    <w:rsid w:val="00327162"/>
    <w:rsid w:val="00375CD7"/>
    <w:rsid w:val="003B6B4D"/>
    <w:rsid w:val="003D0973"/>
    <w:rsid w:val="003D4437"/>
    <w:rsid w:val="003F4BB5"/>
    <w:rsid w:val="004219F6"/>
    <w:rsid w:val="00445DB7"/>
    <w:rsid w:val="004861E7"/>
    <w:rsid w:val="00496E6F"/>
    <w:rsid w:val="004B6442"/>
    <w:rsid w:val="004C72E8"/>
    <w:rsid w:val="004E05B9"/>
    <w:rsid w:val="00503293"/>
    <w:rsid w:val="00527031"/>
    <w:rsid w:val="00532E69"/>
    <w:rsid w:val="005A0362"/>
    <w:rsid w:val="005A6C85"/>
    <w:rsid w:val="005C3B07"/>
    <w:rsid w:val="005C5562"/>
    <w:rsid w:val="005D4D15"/>
    <w:rsid w:val="005D4F52"/>
    <w:rsid w:val="005E2A3A"/>
    <w:rsid w:val="005E7FF5"/>
    <w:rsid w:val="005F79EC"/>
    <w:rsid w:val="005F7F44"/>
    <w:rsid w:val="00632510"/>
    <w:rsid w:val="00653E31"/>
    <w:rsid w:val="00670145"/>
    <w:rsid w:val="0068702C"/>
    <w:rsid w:val="006A1AC8"/>
    <w:rsid w:val="006C71C6"/>
    <w:rsid w:val="006F501B"/>
    <w:rsid w:val="006F72BF"/>
    <w:rsid w:val="006F7CBD"/>
    <w:rsid w:val="007604C6"/>
    <w:rsid w:val="0077335C"/>
    <w:rsid w:val="00784214"/>
    <w:rsid w:val="00787FCC"/>
    <w:rsid w:val="00792AA4"/>
    <w:rsid w:val="007A0822"/>
    <w:rsid w:val="007D4209"/>
    <w:rsid w:val="007E27B6"/>
    <w:rsid w:val="00804AB2"/>
    <w:rsid w:val="00815412"/>
    <w:rsid w:val="00816F51"/>
    <w:rsid w:val="00834535"/>
    <w:rsid w:val="008362D3"/>
    <w:rsid w:val="00872B37"/>
    <w:rsid w:val="00873BAE"/>
    <w:rsid w:val="008D4E2E"/>
    <w:rsid w:val="00922006"/>
    <w:rsid w:val="009508EE"/>
    <w:rsid w:val="00951693"/>
    <w:rsid w:val="00957A06"/>
    <w:rsid w:val="009B4955"/>
    <w:rsid w:val="009C4B06"/>
    <w:rsid w:val="009C6BA5"/>
    <w:rsid w:val="009F7055"/>
    <w:rsid w:val="00A00DF6"/>
    <w:rsid w:val="00A07791"/>
    <w:rsid w:val="00AB634A"/>
    <w:rsid w:val="00AC64D9"/>
    <w:rsid w:val="00AE7770"/>
    <w:rsid w:val="00B02AF0"/>
    <w:rsid w:val="00B16051"/>
    <w:rsid w:val="00B46353"/>
    <w:rsid w:val="00B56475"/>
    <w:rsid w:val="00B72A5C"/>
    <w:rsid w:val="00B92059"/>
    <w:rsid w:val="00BD6A34"/>
    <w:rsid w:val="00BE129E"/>
    <w:rsid w:val="00C40619"/>
    <w:rsid w:val="00C516A7"/>
    <w:rsid w:val="00C84470"/>
    <w:rsid w:val="00C873A8"/>
    <w:rsid w:val="00C96901"/>
    <w:rsid w:val="00CD448B"/>
    <w:rsid w:val="00CF4B10"/>
    <w:rsid w:val="00D14A69"/>
    <w:rsid w:val="00D22A5F"/>
    <w:rsid w:val="00D35EB7"/>
    <w:rsid w:val="00D90EBB"/>
    <w:rsid w:val="00DA3EB2"/>
    <w:rsid w:val="00DC2989"/>
    <w:rsid w:val="00DE007C"/>
    <w:rsid w:val="00E41616"/>
    <w:rsid w:val="00E500C5"/>
    <w:rsid w:val="00E541D0"/>
    <w:rsid w:val="00E74E34"/>
    <w:rsid w:val="00E8455C"/>
    <w:rsid w:val="00E9170D"/>
    <w:rsid w:val="00EB08D2"/>
    <w:rsid w:val="00EB15CD"/>
    <w:rsid w:val="00EC0A8A"/>
    <w:rsid w:val="00EE1A42"/>
    <w:rsid w:val="00EF26CE"/>
    <w:rsid w:val="00EF3646"/>
    <w:rsid w:val="00F03421"/>
    <w:rsid w:val="00F65A5A"/>
    <w:rsid w:val="00F80044"/>
    <w:rsid w:val="00F85961"/>
    <w:rsid w:val="00F90CD9"/>
    <w:rsid w:val="00FE2272"/>
    <w:rsid w:val="00FE45FA"/>
    <w:rsid w:val="00FF2B47"/>
    <w:rsid w:val="14A7EBF8"/>
    <w:rsid w:val="4B1D1AFA"/>
    <w:rsid w:val="561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5FE4"/>
  <w15:chartTrackingRefBased/>
  <w15:docId w15:val="{162211F8-6D86-48C4-8434-3E3F3D2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8455C"/>
  </w:style>
  <w:style w:type="character" w:customStyle="1" w:styleId="normaltextrun">
    <w:name w:val="normaltextrun"/>
    <w:basedOn w:val="DefaultParagraphFont"/>
    <w:rsid w:val="00E8455C"/>
  </w:style>
  <w:style w:type="character" w:customStyle="1" w:styleId="scxw96752707">
    <w:name w:val="scxw96752707"/>
    <w:basedOn w:val="DefaultParagraphFont"/>
    <w:rsid w:val="00E8455C"/>
  </w:style>
  <w:style w:type="paragraph" w:styleId="ListParagraph">
    <w:name w:val="List Paragraph"/>
    <w:basedOn w:val="Normal"/>
    <w:qFormat/>
    <w:rsid w:val="00D14A69"/>
    <w:pPr>
      <w:ind w:left="720"/>
      <w:contextualSpacing/>
    </w:pPr>
  </w:style>
  <w:style w:type="paragraph" w:customStyle="1" w:styleId="partmarks">
    <w:name w:val="part marks"/>
    <w:qFormat/>
    <w:locked/>
    <w:rsid w:val="00AC64D9"/>
    <w:pPr>
      <w:spacing w:after="0" w:line="240" w:lineRule="auto"/>
      <w:ind w:right="851"/>
      <w:jc w:val="right"/>
    </w:pPr>
    <w:rPr>
      <w:rFonts w:ascii="Trebuchet MS" w:eastAsia="Times New Roman" w:hAnsi="Trebuchet MS" w:cs="Times New Roman"/>
      <w:b/>
      <w:color w:val="A6A6A6"/>
      <w:sz w:val="24"/>
      <w:szCs w:val="24"/>
      <w:lang w:eastAsia="en-GB"/>
    </w:rPr>
  </w:style>
  <w:style w:type="paragraph" w:customStyle="1" w:styleId="answerlines">
    <w:name w:val="answer lines"/>
    <w:qFormat/>
    <w:locked/>
    <w:rsid w:val="00AC64D9"/>
    <w:pPr>
      <w:widowControl w:val="0"/>
      <w:tabs>
        <w:tab w:val="right" w:leader="dot" w:pos="10206"/>
      </w:tabs>
      <w:spacing w:before="284" w:after="0" w:line="280" w:lineRule="exact"/>
    </w:pPr>
    <w:rPr>
      <w:rFonts w:ascii="Trebuchet MS" w:eastAsia="Times New Roman" w:hAnsi="Trebuchet MS" w:cs="Times New Roman"/>
      <w:sz w:val="12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5C"/>
  </w:style>
  <w:style w:type="paragraph" w:styleId="Footer">
    <w:name w:val="footer"/>
    <w:basedOn w:val="Normal"/>
    <w:link w:val="FooterChar"/>
    <w:uiPriority w:val="99"/>
    <w:unhideWhenUsed/>
    <w:rsid w:val="0077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5C"/>
  </w:style>
  <w:style w:type="paragraph" w:customStyle="1" w:styleId="Default">
    <w:name w:val="Default"/>
    <w:uiPriority w:val="99"/>
    <w:rsid w:val="000066A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9BC4A708734BB0F101906A4AABDF" ma:contentTypeVersion="13" ma:contentTypeDescription="Create a new document." ma:contentTypeScope="" ma:versionID="d29876c3e11570d7d4fe25ffca7146f1">
  <xsd:schema xmlns:xsd="http://www.w3.org/2001/XMLSchema" xmlns:xs="http://www.w3.org/2001/XMLSchema" xmlns:p="http://schemas.microsoft.com/office/2006/metadata/properties" xmlns:ns2="a048e6a0-c19c-44cc-8659-cfe2dcf3f670" xmlns:ns3="2ac7918b-6dfb-4aa0-b586-c3fe47922150" targetNamespace="http://schemas.microsoft.com/office/2006/metadata/properties" ma:root="true" ma:fieldsID="6da8075146873331fdc7823db4e99710" ns2:_="" ns3:_="">
    <xsd:import namespace="a048e6a0-c19c-44cc-8659-cfe2dcf3f670"/>
    <xsd:import namespace="2ac7918b-6dfb-4aa0-b586-c3fe479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e6a0-c19c-44cc-8659-cfe2dcf3f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7918b-6dfb-4aa0-b586-c3fe479221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fbffcd-81dc-42b3-8c53-7983e3c3a7df}" ma:internalName="TaxCatchAll" ma:showField="CatchAllData" ma:web="2ac7918b-6dfb-4aa0-b586-c3fe479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7918b-6dfb-4aa0-b586-c3fe47922150" xsi:nil="true"/>
    <lcf76f155ced4ddcb4097134ff3c332f xmlns="a048e6a0-c19c-44cc-8659-cfe2dcf3f6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1095-75A2-475E-882F-6395D298D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2F256-059F-47BD-B414-8B6364EC4CC9}"/>
</file>

<file path=customXml/itemProps3.xml><?xml version="1.0" encoding="utf-8"?>
<ds:datastoreItem xmlns:ds="http://schemas.openxmlformats.org/officeDocument/2006/customXml" ds:itemID="{A56C5FC9-82AE-4EE9-A2A8-BC6841F37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D5F6D-9B50-4B01-8D0A-FACD029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Christine</dc:creator>
  <cp:keywords/>
  <dc:description/>
  <cp:lastModifiedBy>Donna Needham</cp:lastModifiedBy>
  <cp:revision>10</cp:revision>
  <dcterms:created xsi:type="dcterms:W3CDTF">2021-03-22T00:47:00Z</dcterms:created>
  <dcterms:modified xsi:type="dcterms:W3CDTF">2022-06-15T20:14:00Z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0x010100480C9BC4A708734BB0F101906A4AABDF</vt:lpwstr>
  </property>
  <property fmtid="{D5CDD505-2E9C-101B-9397-08002B2CF9AE}" pid="3" name="Order">
    <vt:r8>587400</vt:r8>
  </property>
</Properties>
</file>