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DE2B5" w14:textId="1E1B8A9F" w:rsidR="00E8455C" w:rsidRDefault="00E8455C" w:rsidP="00E8455C">
      <w:r>
        <w:rPr>
          <w:noProof/>
          <w:lang w:eastAsia="en-GB"/>
        </w:rPr>
        <w:drawing>
          <wp:inline distT="0" distB="0" distL="0" distR="0" wp14:anchorId="2ED66494" wp14:editId="482F2C16">
            <wp:extent cx="2780030" cy="120713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2780030" cy="1207135"/>
                    </a:xfrm>
                    <a:prstGeom prst="rect">
                      <a:avLst/>
                    </a:prstGeom>
                  </pic:spPr>
                </pic:pic>
              </a:graphicData>
            </a:graphic>
          </wp:inline>
        </w:drawing>
      </w:r>
    </w:p>
    <w:p w14:paraId="21A1B6BA" w14:textId="479E72EB" w:rsidR="00E8455C" w:rsidRDefault="00E8455C" w:rsidP="00E8455C"/>
    <w:p w14:paraId="61691AE0" w14:textId="77777777" w:rsidR="00E8455C" w:rsidRDefault="00E8455C" w:rsidP="00E8455C">
      <w:pPr>
        <w:pStyle w:val="paragraph"/>
        <w:spacing w:before="0" w:beforeAutospacing="0" w:after="0" w:afterAutospacing="0"/>
        <w:textAlignment w:val="baseline"/>
        <w:rPr>
          <w:rFonts w:ascii="Segoe UI" w:hAnsi="Segoe UI" w:cs="Segoe UI"/>
          <w:sz w:val="18"/>
          <w:szCs w:val="18"/>
        </w:rPr>
      </w:pPr>
      <w:r>
        <w:rPr>
          <w:rStyle w:val="normaltextrun"/>
          <w:rFonts w:ascii="Open Sans" w:eastAsiaTheme="majorEastAsia" w:hAnsi="Open Sans" w:cs="Open Sans"/>
          <w:color w:val="002F56"/>
          <w:sz w:val="44"/>
          <w:szCs w:val="44"/>
        </w:rPr>
        <w:t>Additional Assessment Materials </w:t>
      </w:r>
      <w:r>
        <w:rPr>
          <w:rStyle w:val="eop"/>
          <w:rFonts w:ascii="Open Sans" w:hAnsi="Open Sans" w:cs="Open Sans"/>
          <w:color w:val="002F56"/>
          <w:sz w:val="44"/>
          <w:szCs w:val="44"/>
        </w:rPr>
        <w:t> </w:t>
      </w:r>
    </w:p>
    <w:p w14:paraId="1838E276" w14:textId="11365A9D" w:rsidR="00E8455C" w:rsidRDefault="00E8455C" w:rsidP="00E8455C">
      <w:pPr>
        <w:pStyle w:val="paragraph"/>
        <w:spacing w:before="0" w:beforeAutospacing="0" w:after="0" w:afterAutospacing="0"/>
        <w:textAlignment w:val="baseline"/>
        <w:rPr>
          <w:rFonts w:ascii="Segoe UI" w:hAnsi="Segoe UI" w:cs="Segoe UI"/>
          <w:sz w:val="18"/>
          <w:szCs w:val="18"/>
        </w:rPr>
      </w:pPr>
    </w:p>
    <w:p w14:paraId="59548F99" w14:textId="7B5FA458" w:rsidR="00E8455C" w:rsidRDefault="00E8455C" w:rsidP="00E8455C">
      <w:pPr>
        <w:pStyle w:val="paragraph"/>
        <w:spacing w:before="0" w:beforeAutospacing="0" w:after="0" w:afterAutospacing="0"/>
        <w:textAlignment w:val="baseline"/>
        <w:rPr>
          <w:rStyle w:val="normaltextrun"/>
          <w:rFonts w:ascii="Open Sans" w:eastAsiaTheme="majorEastAsia" w:hAnsi="Open Sans" w:cs="Open Sans"/>
          <w:color w:val="007EA2"/>
          <w:sz w:val="44"/>
          <w:szCs w:val="44"/>
        </w:rPr>
      </w:pPr>
      <w:r>
        <w:rPr>
          <w:rStyle w:val="scxw96752707"/>
          <w:rFonts w:ascii="Calibri" w:hAnsi="Calibri" w:cs="Calibri"/>
          <w:sz w:val="22"/>
          <w:szCs w:val="22"/>
        </w:rPr>
        <w:t> </w:t>
      </w:r>
      <w:r>
        <w:rPr>
          <w:rFonts w:ascii="Calibri" w:hAnsi="Calibri" w:cs="Calibri"/>
          <w:sz w:val="22"/>
          <w:szCs w:val="22"/>
        </w:rPr>
        <w:br/>
      </w:r>
      <w:r>
        <w:rPr>
          <w:rStyle w:val="normaltextrun"/>
          <w:rFonts w:ascii="Open Sans" w:eastAsiaTheme="majorEastAsia" w:hAnsi="Open Sans" w:cs="Open Sans"/>
          <w:color w:val="007EA2"/>
          <w:sz w:val="44"/>
          <w:szCs w:val="44"/>
        </w:rPr>
        <w:t>Pearson Edexcel GCE in </w:t>
      </w:r>
      <w:r w:rsidR="00AB634A">
        <w:rPr>
          <w:rStyle w:val="normaltextrun"/>
          <w:rFonts w:ascii="Open Sans" w:eastAsiaTheme="majorEastAsia" w:hAnsi="Open Sans" w:cs="Open Sans"/>
          <w:color w:val="007EA2"/>
          <w:sz w:val="44"/>
          <w:szCs w:val="44"/>
        </w:rPr>
        <w:t xml:space="preserve">A level </w:t>
      </w:r>
      <w:r>
        <w:rPr>
          <w:rStyle w:val="normaltextrun"/>
          <w:rFonts w:ascii="Open Sans" w:eastAsiaTheme="majorEastAsia" w:hAnsi="Open Sans" w:cs="Open Sans"/>
          <w:color w:val="007EA2"/>
          <w:sz w:val="44"/>
          <w:szCs w:val="44"/>
        </w:rPr>
        <w:t xml:space="preserve">Business </w:t>
      </w:r>
    </w:p>
    <w:p w14:paraId="1C15CC68" w14:textId="6A9AD88F" w:rsidR="00E8455C" w:rsidRDefault="00AB634A" w:rsidP="00E8455C">
      <w:pPr>
        <w:pStyle w:val="paragraph"/>
        <w:spacing w:before="0" w:beforeAutospacing="0" w:after="0" w:afterAutospacing="0"/>
        <w:textAlignment w:val="baseline"/>
        <w:rPr>
          <w:rFonts w:ascii="Segoe UI" w:hAnsi="Segoe UI" w:cs="Segoe UI"/>
          <w:sz w:val="18"/>
          <w:szCs w:val="18"/>
        </w:rPr>
      </w:pPr>
      <w:r>
        <w:rPr>
          <w:rStyle w:val="normaltextrun"/>
          <w:rFonts w:ascii="Open Sans" w:eastAsiaTheme="majorEastAsia" w:hAnsi="Open Sans" w:cs="Open Sans"/>
          <w:color w:val="007EA2"/>
          <w:sz w:val="44"/>
          <w:szCs w:val="44"/>
        </w:rPr>
        <w:t xml:space="preserve">9BS0 </w:t>
      </w:r>
    </w:p>
    <w:p w14:paraId="0B4F73DF" w14:textId="77777777" w:rsidR="00E8455C" w:rsidRDefault="00E8455C" w:rsidP="00E8455C">
      <w:pPr>
        <w:pStyle w:val="paragraph"/>
        <w:spacing w:before="0" w:beforeAutospacing="0" w:after="0" w:afterAutospacing="0"/>
        <w:textAlignment w:val="baseline"/>
        <w:rPr>
          <w:rFonts w:ascii="Segoe UI" w:hAnsi="Segoe UI" w:cs="Segoe UI"/>
          <w:sz w:val="18"/>
          <w:szCs w:val="18"/>
        </w:rPr>
      </w:pPr>
      <w:r>
        <w:rPr>
          <w:rStyle w:val="normaltextrun"/>
          <w:rFonts w:ascii="Open Sans" w:eastAsiaTheme="majorEastAsia" w:hAnsi="Open Sans" w:cs="Open Sans"/>
          <w:sz w:val="43"/>
          <w:szCs w:val="43"/>
        </w:rPr>
        <w:t> </w:t>
      </w:r>
      <w:r>
        <w:rPr>
          <w:rStyle w:val="eop"/>
          <w:rFonts w:ascii="Open Sans" w:hAnsi="Open Sans" w:cs="Open Sans"/>
          <w:sz w:val="43"/>
          <w:szCs w:val="43"/>
        </w:rPr>
        <w:t> </w:t>
      </w:r>
    </w:p>
    <w:p w14:paraId="25B9E125" w14:textId="35BCFF72" w:rsidR="001A65A4" w:rsidRDefault="00E8455C" w:rsidP="380D3FC5">
      <w:pPr>
        <w:rPr>
          <w:rStyle w:val="normaltextrun"/>
          <w:rFonts w:ascii="Open Sans" w:eastAsiaTheme="majorEastAsia" w:hAnsi="Open Sans" w:cs="Open Sans"/>
          <w:color w:val="007EA2"/>
          <w:sz w:val="44"/>
          <w:szCs w:val="44"/>
        </w:rPr>
      </w:pPr>
      <w:r w:rsidRPr="380D3FC5">
        <w:rPr>
          <w:rStyle w:val="normaltextrun"/>
          <w:rFonts w:ascii="Open Sans" w:eastAsiaTheme="majorEastAsia" w:hAnsi="Open Sans" w:cs="Open Sans"/>
          <w:color w:val="007EA2"/>
          <w:sz w:val="44"/>
          <w:szCs w:val="44"/>
        </w:rPr>
        <w:t>Resource Set </w:t>
      </w:r>
      <w:r w:rsidR="695B465B" w:rsidRPr="380D3FC5">
        <w:rPr>
          <w:rStyle w:val="normaltextrun"/>
          <w:rFonts w:ascii="Open Sans" w:eastAsiaTheme="majorEastAsia" w:hAnsi="Open Sans" w:cs="Open Sans"/>
          <w:color w:val="007EA2"/>
          <w:sz w:val="44"/>
          <w:szCs w:val="44"/>
        </w:rPr>
        <w:t>1</w:t>
      </w:r>
    </w:p>
    <w:p w14:paraId="0110B8A6" w14:textId="37F07ACE" w:rsidR="00922006" w:rsidRDefault="00922006" w:rsidP="00D35EB7">
      <w:pPr>
        <w:rPr>
          <w:rStyle w:val="normaltextrun"/>
          <w:rFonts w:ascii="Open Sans" w:eastAsiaTheme="majorEastAsia" w:hAnsi="Open Sans" w:cs="Open Sans"/>
          <w:color w:val="007EA2"/>
          <w:sz w:val="44"/>
          <w:szCs w:val="44"/>
        </w:rPr>
      </w:pPr>
      <w:r>
        <w:rPr>
          <w:rStyle w:val="normaltextrun"/>
          <w:rFonts w:ascii="Open Sans" w:eastAsiaTheme="majorEastAsia" w:hAnsi="Open Sans" w:cs="Open Sans"/>
          <w:color w:val="007EA2"/>
          <w:sz w:val="44"/>
          <w:szCs w:val="44"/>
        </w:rPr>
        <w:t>3.1 Business objectives and strategy</w:t>
      </w:r>
    </w:p>
    <w:p w14:paraId="1FA3F001" w14:textId="4B16B717" w:rsidR="00922006" w:rsidRDefault="00922006" w:rsidP="00D35EB7">
      <w:pPr>
        <w:rPr>
          <w:rStyle w:val="normaltextrun"/>
          <w:rFonts w:ascii="Open Sans" w:eastAsiaTheme="majorEastAsia" w:hAnsi="Open Sans" w:cs="Open Sans"/>
          <w:color w:val="007EA2"/>
          <w:sz w:val="44"/>
          <w:szCs w:val="44"/>
        </w:rPr>
      </w:pPr>
      <w:r>
        <w:rPr>
          <w:rStyle w:val="normaltextrun"/>
          <w:rFonts w:ascii="Open Sans" w:eastAsiaTheme="majorEastAsia" w:hAnsi="Open Sans" w:cs="Open Sans"/>
          <w:color w:val="007EA2"/>
          <w:sz w:val="44"/>
          <w:szCs w:val="44"/>
        </w:rPr>
        <w:tab/>
        <w:t>3.1.1 Corporate objectives</w:t>
      </w:r>
    </w:p>
    <w:p w14:paraId="417AD8E1" w14:textId="75DBE39F" w:rsidR="00922006" w:rsidRDefault="00922006" w:rsidP="00D35EB7">
      <w:pPr>
        <w:rPr>
          <w:rStyle w:val="normaltextrun"/>
          <w:rFonts w:ascii="Open Sans" w:eastAsiaTheme="majorEastAsia" w:hAnsi="Open Sans" w:cs="Open Sans"/>
          <w:color w:val="007EA2"/>
          <w:sz w:val="44"/>
          <w:szCs w:val="44"/>
        </w:rPr>
      </w:pPr>
      <w:r>
        <w:rPr>
          <w:rStyle w:val="normaltextrun"/>
          <w:rFonts w:ascii="Open Sans" w:eastAsiaTheme="majorEastAsia" w:hAnsi="Open Sans" w:cs="Open Sans"/>
          <w:color w:val="007EA2"/>
          <w:sz w:val="44"/>
          <w:szCs w:val="44"/>
        </w:rPr>
        <w:tab/>
        <w:t>3.1.2 Theories of corporate strategy</w:t>
      </w:r>
    </w:p>
    <w:p w14:paraId="0FB8329E" w14:textId="66453CD2" w:rsidR="00922006" w:rsidRDefault="00922006" w:rsidP="00D35EB7">
      <w:pPr>
        <w:rPr>
          <w:rStyle w:val="normaltextrun"/>
          <w:rFonts w:ascii="Open Sans" w:eastAsiaTheme="majorEastAsia" w:hAnsi="Open Sans" w:cs="Open Sans"/>
          <w:color w:val="007EA2"/>
          <w:sz w:val="44"/>
          <w:szCs w:val="44"/>
        </w:rPr>
      </w:pPr>
      <w:r>
        <w:rPr>
          <w:rStyle w:val="normaltextrun"/>
          <w:rFonts w:ascii="Open Sans" w:eastAsiaTheme="majorEastAsia" w:hAnsi="Open Sans" w:cs="Open Sans"/>
          <w:color w:val="007EA2"/>
          <w:sz w:val="44"/>
          <w:szCs w:val="44"/>
        </w:rPr>
        <w:tab/>
        <w:t>3.1.3 SWOT Analysis</w:t>
      </w:r>
    </w:p>
    <w:p w14:paraId="3CB13E64" w14:textId="5EE543AE" w:rsidR="00D35EB7" w:rsidRDefault="00D35EB7" w:rsidP="00D35EB7">
      <w:pPr>
        <w:ind w:firstLine="720"/>
        <w:rPr>
          <w:rStyle w:val="normaltextrun"/>
          <w:rFonts w:ascii="Open Sans" w:eastAsiaTheme="majorEastAsia" w:hAnsi="Open Sans" w:cs="Open Sans"/>
          <w:color w:val="007EA2"/>
          <w:sz w:val="44"/>
          <w:szCs w:val="44"/>
        </w:rPr>
      </w:pPr>
    </w:p>
    <w:p w14:paraId="1C62428E" w14:textId="009FFAFC" w:rsidR="00922006" w:rsidRDefault="00922006" w:rsidP="00D35EB7">
      <w:pPr>
        <w:ind w:firstLine="720"/>
        <w:rPr>
          <w:rStyle w:val="normaltextrun"/>
          <w:rFonts w:ascii="Open Sans" w:eastAsiaTheme="majorEastAsia" w:hAnsi="Open Sans" w:cs="Open Sans"/>
          <w:color w:val="007EA2"/>
          <w:sz w:val="44"/>
          <w:szCs w:val="44"/>
        </w:rPr>
      </w:pPr>
    </w:p>
    <w:p w14:paraId="146C4E45" w14:textId="1A0373CD" w:rsidR="00922006" w:rsidRDefault="00922006" w:rsidP="00D35EB7">
      <w:pPr>
        <w:ind w:firstLine="720"/>
        <w:rPr>
          <w:rStyle w:val="normaltextrun"/>
          <w:rFonts w:ascii="Open Sans" w:eastAsiaTheme="majorEastAsia" w:hAnsi="Open Sans" w:cs="Open Sans"/>
          <w:color w:val="007EA2"/>
          <w:sz w:val="44"/>
          <w:szCs w:val="44"/>
        </w:rPr>
      </w:pPr>
    </w:p>
    <w:p w14:paraId="117E5070" w14:textId="77777777" w:rsidR="00922006" w:rsidRDefault="00922006" w:rsidP="00D35EB7">
      <w:pPr>
        <w:ind w:firstLine="720"/>
        <w:rPr>
          <w:rStyle w:val="normaltextrun"/>
          <w:rFonts w:ascii="Open Sans" w:eastAsiaTheme="majorEastAsia" w:hAnsi="Open Sans" w:cs="Open Sans"/>
          <w:color w:val="007EA2"/>
          <w:sz w:val="44"/>
          <w:szCs w:val="44"/>
        </w:rPr>
      </w:pPr>
    </w:p>
    <w:p w14:paraId="553CC7F9" w14:textId="17D0840F" w:rsidR="001A65A4" w:rsidRDefault="001A65A4" w:rsidP="001A65A4">
      <w:pPr>
        <w:autoSpaceDE w:val="0"/>
        <w:autoSpaceDN w:val="0"/>
        <w:adjustRightInd w:val="0"/>
        <w:spacing w:after="0" w:line="240" w:lineRule="auto"/>
        <w:rPr>
          <w:b/>
          <w:bCs/>
          <w:sz w:val="24"/>
          <w:szCs w:val="24"/>
        </w:rPr>
      </w:pPr>
    </w:p>
    <w:p w14:paraId="3566FCCE" w14:textId="4AFD3E02" w:rsidR="001A65A4" w:rsidRDefault="001A65A4" w:rsidP="001A65A4">
      <w:pPr>
        <w:autoSpaceDE w:val="0"/>
        <w:autoSpaceDN w:val="0"/>
        <w:adjustRightInd w:val="0"/>
        <w:spacing w:after="0" w:line="240" w:lineRule="auto"/>
        <w:rPr>
          <w:b/>
          <w:bCs/>
          <w:sz w:val="24"/>
          <w:szCs w:val="24"/>
        </w:rPr>
      </w:pPr>
    </w:p>
    <w:p w14:paraId="70409E07" w14:textId="77777777" w:rsidR="001A65A4" w:rsidRDefault="001A65A4" w:rsidP="001A65A4">
      <w:pPr>
        <w:autoSpaceDE w:val="0"/>
        <w:autoSpaceDN w:val="0"/>
        <w:adjustRightInd w:val="0"/>
        <w:spacing w:after="0" w:line="240" w:lineRule="auto"/>
        <w:rPr>
          <w:b/>
          <w:bCs/>
          <w:sz w:val="24"/>
          <w:szCs w:val="24"/>
        </w:rPr>
      </w:pPr>
    </w:p>
    <w:p w14:paraId="5BF13467" w14:textId="7451F4ED" w:rsidR="00BD6A34" w:rsidRDefault="00BD6A34" w:rsidP="00A00DF6"/>
    <w:p w14:paraId="5F874D67" w14:textId="5ECE3B5D" w:rsidR="00C84470" w:rsidRPr="00C84470" w:rsidRDefault="00C84470" w:rsidP="00C84470">
      <w:pPr>
        <w:jc w:val="center"/>
        <w:rPr>
          <w:b/>
          <w:bCs/>
          <w:sz w:val="24"/>
          <w:szCs w:val="24"/>
        </w:rPr>
      </w:pPr>
      <w:r w:rsidRPr="00C84470">
        <w:rPr>
          <w:rFonts w:ascii="MyriadPro-Regular" w:hAnsi="MyriadPro-Regular" w:cs="MyriadPro-Regular"/>
          <w:noProof/>
          <w:sz w:val="24"/>
          <w:szCs w:val="24"/>
          <w:lang w:eastAsia="en-GB"/>
        </w:rPr>
        <w:lastRenderedPageBreak/>
        <w:drawing>
          <wp:anchor distT="0" distB="0" distL="114300" distR="114300" simplePos="0" relativeHeight="251658240" behindDoc="1" locked="0" layoutInCell="1" allowOverlap="1" wp14:anchorId="03066DA8" wp14:editId="71F1A830">
            <wp:simplePos x="0" y="0"/>
            <wp:positionH relativeFrom="margin">
              <wp:posOffset>-635</wp:posOffset>
            </wp:positionH>
            <wp:positionV relativeFrom="paragraph">
              <wp:posOffset>302260</wp:posOffset>
            </wp:positionV>
            <wp:extent cx="5879465" cy="2081530"/>
            <wp:effectExtent l="0" t="0" r="6985" b="0"/>
            <wp:wrapTight wrapText="bothSides">
              <wp:wrapPolygon edited="0">
                <wp:start x="0" y="0"/>
                <wp:lineTo x="0" y="21350"/>
                <wp:lineTo x="21556" y="21350"/>
                <wp:lineTo x="215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879465" cy="2081530"/>
                    </a:xfrm>
                    <a:prstGeom prst="rect">
                      <a:avLst/>
                    </a:prstGeom>
                  </pic:spPr>
                </pic:pic>
              </a:graphicData>
            </a:graphic>
            <wp14:sizeRelH relativeFrom="page">
              <wp14:pctWidth>0</wp14:pctWidth>
            </wp14:sizeRelH>
            <wp14:sizeRelV relativeFrom="page">
              <wp14:pctHeight>0</wp14:pctHeight>
            </wp14:sizeRelV>
          </wp:anchor>
        </w:drawing>
      </w:r>
      <w:r w:rsidR="00922006" w:rsidRPr="00922006">
        <w:rPr>
          <w:b/>
          <w:bCs/>
          <w:sz w:val="24"/>
          <w:szCs w:val="24"/>
        </w:rPr>
        <w:t>3.1.1 Corporate objectives</w:t>
      </w:r>
    </w:p>
    <w:p w14:paraId="122A68A7" w14:textId="240325DE" w:rsidR="00922006" w:rsidRDefault="00C84470" w:rsidP="00922006">
      <w:pPr>
        <w:rPr>
          <w:rFonts w:ascii="MyriadPro-Regular" w:hAnsi="MyriadPro-Regular" w:cs="MyriadPro-Regular"/>
          <w:sz w:val="24"/>
          <w:szCs w:val="24"/>
        </w:rPr>
      </w:pPr>
      <w:r>
        <w:rPr>
          <w:rFonts w:ascii="MyriadPro-Regular" w:hAnsi="MyriadPro-Regular" w:cs="MyriadPro-Regular"/>
          <w:sz w:val="24"/>
          <w:szCs w:val="24"/>
        </w:rPr>
        <w:t>1</w:t>
      </w:r>
      <w:r>
        <w:rPr>
          <w:rFonts w:ascii="MyriadPro-Regular" w:hAnsi="MyriadPro-Regular" w:cs="MyriadPro-Regular"/>
          <w:sz w:val="24"/>
          <w:szCs w:val="24"/>
        </w:rPr>
        <w:tab/>
      </w:r>
      <w:r w:rsidR="00922006">
        <w:rPr>
          <w:rFonts w:ascii="MyriadPro-Regular" w:hAnsi="MyriadPro-Regular" w:cs="MyriadPro-Regular"/>
          <w:sz w:val="24"/>
          <w:szCs w:val="24"/>
        </w:rPr>
        <w:t>Explain how Morrisons may benefit from having a mission statement.</w:t>
      </w:r>
    </w:p>
    <w:p w14:paraId="2B1CEB52" w14:textId="27D08440" w:rsidR="00922006" w:rsidRDefault="00922006" w:rsidP="00922006">
      <w:pPr>
        <w:pStyle w:val="partmarks"/>
      </w:pPr>
      <w:r>
        <w:t>(4)</w:t>
      </w:r>
    </w:p>
    <w:p w14:paraId="056E537C" w14:textId="6A1BD810" w:rsidR="00C84470" w:rsidRDefault="00C84470" w:rsidP="00C84470">
      <w:pPr>
        <w:pStyle w:val="answerlines"/>
      </w:pPr>
      <w:r>
        <w:tab/>
      </w:r>
    </w:p>
    <w:p w14:paraId="493CD399" w14:textId="1F485337" w:rsidR="00C84470" w:rsidRDefault="00C84470" w:rsidP="00C84470">
      <w:pPr>
        <w:pStyle w:val="answerlines"/>
      </w:pPr>
      <w:r>
        <w:tab/>
      </w:r>
    </w:p>
    <w:p w14:paraId="34AD257F" w14:textId="78F21AB6" w:rsidR="00C84470" w:rsidRDefault="00C84470" w:rsidP="00C84470">
      <w:pPr>
        <w:pStyle w:val="answerlines"/>
      </w:pPr>
      <w:r>
        <w:tab/>
      </w:r>
    </w:p>
    <w:p w14:paraId="7AF7A13D" w14:textId="37E248E1" w:rsidR="00C84470" w:rsidRDefault="00C84470" w:rsidP="00C84470">
      <w:pPr>
        <w:pStyle w:val="answerlines"/>
      </w:pPr>
      <w:r>
        <w:tab/>
      </w:r>
    </w:p>
    <w:p w14:paraId="7F12B082" w14:textId="28AE7962" w:rsidR="00C84470" w:rsidRDefault="00C84470" w:rsidP="00C84470">
      <w:pPr>
        <w:pStyle w:val="answerlines"/>
      </w:pPr>
      <w:r>
        <w:tab/>
      </w:r>
    </w:p>
    <w:p w14:paraId="487372D4" w14:textId="4389238B" w:rsidR="00C84470" w:rsidRDefault="00C84470" w:rsidP="00C84470">
      <w:pPr>
        <w:pStyle w:val="answerlines"/>
      </w:pPr>
      <w:r>
        <w:tab/>
      </w:r>
    </w:p>
    <w:p w14:paraId="7F256C60" w14:textId="0D067D1F" w:rsidR="00C84470" w:rsidRDefault="00C84470" w:rsidP="00C84470">
      <w:pPr>
        <w:pStyle w:val="answerlines"/>
      </w:pPr>
      <w:r>
        <w:tab/>
      </w:r>
    </w:p>
    <w:p w14:paraId="4CFAD957" w14:textId="2F86F1A3" w:rsidR="00C84470" w:rsidRDefault="00C84470" w:rsidP="00C84470">
      <w:pPr>
        <w:pStyle w:val="answerlines"/>
      </w:pPr>
      <w:r>
        <w:tab/>
      </w:r>
    </w:p>
    <w:p w14:paraId="66F0C72A" w14:textId="3E158501" w:rsidR="00815412" w:rsidRDefault="00815412" w:rsidP="00C84470">
      <w:pPr>
        <w:pStyle w:val="answerlines"/>
      </w:pPr>
    </w:p>
    <w:p w14:paraId="5A9C3CAC" w14:textId="10D99A10" w:rsidR="00815412" w:rsidRDefault="00815412" w:rsidP="00815412"/>
    <w:p w14:paraId="06F80333" w14:textId="739F7585" w:rsidR="00815412" w:rsidRDefault="00815412" w:rsidP="00815412"/>
    <w:p w14:paraId="476C5FC9" w14:textId="23A36E39" w:rsidR="00815412" w:rsidRDefault="00815412" w:rsidP="00815412"/>
    <w:p w14:paraId="4FC85021" w14:textId="52B6F082" w:rsidR="00815412" w:rsidRDefault="00815412" w:rsidP="00815412"/>
    <w:p w14:paraId="4F3581FE" w14:textId="52C8D426" w:rsidR="00815412" w:rsidRDefault="00815412" w:rsidP="00815412"/>
    <w:p w14:paraId="7D7F9EB3" w14:textId="23F8449F" w:rsidR="00815412" w:rsidRDefault="00815412" w:rsidP="00815412"/>
    <w:p w14:paraId="066D4A87" w14:textId="29D0CA74" w:rsidR="00815412" w:rsidRDefault="00815412" w:rsidP="00815412"/>
    <w:p w14:paraId="49F37A77" w14:textId="1CADF529" w:rsidR="00815412" w:rsidRDefault="00815412" w:rsidP="00815412"/>
    <w:p w14:paraId="58A2D5C6" w14:textId="79EFE963" w:rsidR="00815412" w:rsidRDefault="00815412" w:rsidP="00815412"/>
    <w:p w14:paraId="6302A269" w14:textId="69B55D52" w:rsidR="00815412" w:rsidRPr="00EA0534" w:rsidRDefault="00EA0534" w:rsidP="00EA0534">
      <w:pPr>
        <w:autoSpaceDE w:val="0"/>
        <w:autoSpaceDN w:val="0"/>
        <w:adjustRightInd w:val="0"/>
        <w:spacing w:after="0" w:line="240" w:lineRule="auto"/>
        <w:jc w:val="center"/>
        <w:rPr>
          <w:rFonts w:cstheme="minorHAnsi"/>
          <w:b/>
          <w:bCs/>
          <w:sz w:val="24"/>
          <w:szCs w:val="24"/>
        </w:rPr>
      </w:pPr>
      <w:r w:rsidRPr="00815412">
        <w:rPr>
          <w:rFonts w:ascii="MyriadPro-Regular" w:hAnsi="MyriadPro-Regular" w:cs="MyriadPro-Regular"/>
          <w:noProof/>
          <w:sz w:val="24"/>
          <w:szCs w:val="24"/>
          <w:lang w:eastAsia="en-GB"/>
        </w:rPr>
        <w:lastRenderedPageBreak/>
        <w:drawing>
          <wp:anchor distT="0" distB="0" distL="114300" distR="114300" simplePos="0" relativeHeight="251659264" behindDoc="1" locked="0" layoutInCell="1" allowOverlap="1" wp14:anchorId="01E924BB" wp14:editId="6DCA0893">
            <wp:simplePos x="0" y="0"/>
            <wp:positionH relativeFrom="margin">
              <wp:align>left</wp:align>
            </wp:positionH>
            <wp:positionV relativeFrom="paragraph">
              <wp:posOffset>349250</wp:posOffset>
            </wp:positionV>
            <wp:extent cx="6181090" cy="3825875"/>
            <wp:effectExtent l="0" t="0" r="0" b="3175"/>
            <wp:wrapTight wrapText="bothSides">
              <wp:wrapPolygon edited="0">
                <wp:start x="0" y="0"/>
                <wp:lineTo x="0" y="21510"/>
                <wp:lineTo x="21502" y="21510"/>
                <wp:lineTo x="2150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181090" cy="3825875"/>
                    </a:xfrm>
                    <a:prstGeom prst="rect">
                      <a:avLst/>
                    </a:prstGeom>
                  </pic:spPr>
                </pic:pic>
              </a:graphicData>
            </a:graphic>
            <wp14:sizeRelH relativeFrom="page">
              <wp14:pctWidth>0</wp14:pctWidth>
            </wp14:sizeRelH>
            <wp14:sizeRelV relativeFrom="page">
              <wp14:pctHeight>0</wp14:pctHeight>
            </wp14:sizeRelV>
          </wp:anchor>
        </w:drawing>
      </w:r>
      <w:r w:rsidRPr="380D3FC5">
        <w:rPr>
          <w:b/>
          <w:bCs/>
          <w:sz w:val="24"/>
          <w:szCs w:val="24"/>
        </w:rPr>
        <w:t>3.1.2 Theories of corporate strategy</w:t>
      </w:r>
    </w:p>
    <w:p w14:paraId="59260F23" w14:textId="23E1A194" w:rsidR="00EA0534" w:rsidRDefault="00EA0534" w:rsidP="00815412">
      <w:pPr>
        <w:autoSpaceDE w:val="0"/>
        <w:autoSpaceDN w:val="0"/>
        <w:adjustRightInd w:val="0"/>
        <w:spacing w:after="0" w:line="240" w:lineRule="auto"/>
        <w:rPr>
          <w:rFonts w:ascii="MyriadPro-Regular" w:hAnsi="MyriadPro-Regular" w:cs="MyriadPro-Regular"/>
          <w:sz w:val="24"/>
          <w:szCs w:val="24"/>
        </w:rPr>
      </w:pPr>
    </w:p>
    <w:p w14:paraId="6B4D6055" w14:textId="0C7CB1A5" w:rsidR="00EA0534" w:rsidRDefault="00EA0534" w:rsidP="00815412">
      <w:pPr>
        <w:autoSpaceDE w:val="0"/>
        <w:autoSpaceDN w:val="0"/>
        <w:adjustRightInd w:val="0"/>
        <w:spacing w:after="0" w:line="240" w:lineRule="auto"/>
        <w:rPr>
          <w:rFonts w:ascii="MyriadPro-Regular" w:hAnsi="MyriadPro-Regular" w:cs="MyriadPro-Regular"/>
          <w:sz w:val="24"/>
          <w:szCs w:val="24"/>
        </w:rPr>
      </w:pPr>
    </w:p>
    <w:p w14:paraId="3A90BE42" w14:textId="241F996B" w:rsidR="00815412" w:rsidRDefault="00815412" w:rsidP="00815412">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Mumtaz’s aim is to become the UK’s market leader in Asian ready meals.</w:t>
      </w:r>
    </w:p>
    <w:p w14:paraId="5DDFCDC8" w14:textId="77777777" w:rsidR="00815412" w:rsidRDefault="00815412" w:rsidP="00815412">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To achieve this, it could produce own label ready meals for supermarkets or focus on</w:t>
      </w:r>
    </w:p>
    <w:p w14:paraId="6DE64965" w14:textId="742089E9" w:rsidR="00815412" w:rsidRDefault="00815412" w:rsidP="00815412">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selling more Mumtaz premium brand name products.</w:t>
      </w:r>
    </w:p>
    <w:p w14:paraId="0D45DE5A" w14:textId="77777777" w:rsidR="00815412" w:rsidRDefault="00815412" w:rsidP="00815412">
      <w:pPr>
        <w:autoSpaceDE w:val="0"/>
        <w:autoSpaceDN w:val="0"/>
        <w:adjustRightInd w:val="0"/>
        <w:spacing w:after="0" w:line="240" w:lineRule="auto"/>
        <w:rPr>
          <w:rFonts w:ascii="MyriadPro-Regular" w:hAnsi="MyriadPro-Regular" w:cs="MyriadPro-Regular"/>
          <w:sz w:val="24"/>
          <w:szCs w:val="24"/>
        </w:rPr>
      </w:pPr>
    </w:p>
    <w:p w14:paraId="03D980B7" w14:textId="391C6BD2" w:rsidR="00815412" w:rsidRDefault="00815412" w:rsidP="00815412">
      <w:pPr>
        <w:autoSpaceDE w:val="0"/>
        <w:autoSpaceDN w:val="0"/>
        <w:adjustRightInd w:val="0"/>
        <w:spacing w:after="0" w:line="240" w:lineRule="auto"/>
        <w:ind w:left="720" w:hanging="720"/>
        <w:rPr>
          <w:rFonts w:ascii="MyriadPro-Regular" w:hAnsi="MyriadPro-Regular" w:cs="MyriadPro-Regular"/>
          <w:sz w:val="24"/>
          <w:szCs w:val="24"/>
        </w:rPr>
      </w:pPr>
      <w:r>
        <w:rPr>
          <w:rFonts w:ascii="MyriadPro-Regular" w:hAnsi="MyriadPro-Regular" w:cs="MyriadPro-Regular"/>
          <w:sz w:val="24"/>
          <w:szCs w:val="24"/>
        </w:rPr>
        <w:t>2</w:t>
      </w:r>
      <w:r>
        <w:rPr>
          <w:rFonts w:ascii="MyriadPro-Regular" w:hAnsi="MyriadPro-Regular" w:cs="MyriadPro-Regular"/>
          <w:sz w:val="24"/>
          <w:szCs w:val="24"/>
        </w:rPr>
        <w:tab/>
        <w:t xml:space="preserve">Evaluate these </w:t>
      </w:r>
      <w:r>
        <w:rPr>
          <w:rFonts w:ascii="MyriadPro-Bold" w:hAnsi="MyriadPro-Bold" w:cs="MyriadPro-Bold"/>
          <w:b/>
          <w:bCs/>
          <w:sz w:val="24"/>
          <w:szCs w:val="24"/>
        </w:rPr>
        <w:t xml:space="preserve">two </w:t>
      </w:r>
      <w:r>
        <w:rPr>
          <w:rFonts w:ascii="MyriadPro-Regular" w:hAnsi="MyriadPro-Regular" w:cs="MyriadPro-Regular"/>
          <w:sz w:val="24"/>
          <w:szCs w:val="24"/>
        </w:rPr>
        <w:t>options and recommend which is most suitable for Mumtaz to achieve its aim.</w:t>
      </w:r>
    </w:p>
    <w:p w14:paraId="12611AA7" w14:textId="7B91B8EB" w:rsidR="00815412" w:rsidRDefault="00815412" w:rsidP="00815412">
      <w:pPr>
        <w:pStyle w:val="partmarks"/>
      </w:pPr>
      <w:r>
        <w:t>(20)</w:t>
      </w:r>
    </w:p>
    <w:p w14:paraId="7EFD4E3C" w14:textId="77777777" w:rsidR="0066582D" w:rsidRDefault="0066582D" w:rsidP="0066582D">
      <w:pPr>
        <w:pStyle w:val="answerlines"/>
      </w:pPr>
      <w:r>
        <w:tab/>
      </w:r>
    </w:p>
    <w:p w14:paraId="56AF5F3D" w14:textId="77777777" w:rsidR="0066582D" w:rsidRDefault="0066582D" w:rsidP="0066582D">
      <w:pPr>
        <w:pStyle w:val="answerlines"/>
      </w:pPr>
      <w:r>
        <w:tab/>
      </w:r>
    </w:p>
    <w:p w14:paraId="20E5825A" w14:textId="77777777" w:rsidR="0066582D" w:rsidRDefault="0066582D" w:rsidP="0066582D">
      <w:pPr>
        <w:pStyle w:val="answerlines"/>
      </w:pPr>
      <w:r>
        <w:tab/>
      </w:r>
    </w:p>
    <w:p w14:paraId="1FC66C59" w14:textId="77777777" w:rsidR="0066582D" w:rsidRDefault="0066582D" w:rsidP="0066582D">
      <w:pPr>
        <w:pStyle w:val="answerlines"/>
      </w:pPr>
      <w:r>
        <w:tab/>
      </w:r>
    </w:p>
    <w:p w14:paraId="1A3747E9" w14:textId="77777777" w:rsidR="0066582D" w:rsidRDefault="0066582D" w:rsidP="0066582D">
      <w:pPr>
        <w:pStyle w:val="answerlines"/>
      </w:pPr>
      <w:r>
        <w:tab/>
      </w:r>
    </w:p>
    <w:p w14:paraId="55CE6440" w14:textId="77777777" w:rsidR="0066582D" w:rsidRDefault="0066582D" w:rsidP="0066582D">
      <w:pPr>
        <w:pStyle w:val="answerlines"/>
      </w:pPr>
      <w:r>
        <w:tab/>
      </w:r>
    </w:p>
    <w:p w14:paraId="69E8C456" w14:textId="77777777" w:rsidR="0066582D" w:rsidRDefault="0066582D" w:rsidP="0066582D">
      <w:pPr>
        <w:pStyle w:val="answerlines"/>
      </w:pPr>
      <w:r>
        <w:tab/>
      </w:r>
    </w:p>
    <w:p w14:paraId="21C11653" w14:textId="77777777" w:rsidR="0066582D" w:rsidRDefault="0066582D" w:rsidP="0066582D">
      <w:pPr>
        <w:pStyle w:val="answerlines"/>
      </w:pPr>
      <w:r>
        <w:tab/>
      </w:r>
    </w:p>
    <w:p w14:paraId="07822408" w14:textId="77777777" w:rsidR="0066582D" w:rsidRDefault="0066582D" w:rsidP="0066582D">
      <w:pPr>
        <w:pStyle w:val="answerlines"/>
      </w:pPr>
      <w:r>
        <w:lastRenderedPageBreak/>
        <w:tab/>
      </w:r>
    </w:p>
    <w:p w14:paraId="26ACEB06" w14:textId="77777777" w:rsidR="0066582D" w:rsidRDefault="0066582D" w:rsidP="0066582D">
      <w:pPr>
        <w:pStyle w:val="answerlines"/>
      </w:pPr>
      <w:r>
        <w:tab/>
      </w:r>
    </w:p>
    <w:p w14:paraId="52C10DC9" w14:textId="77777777" w:rsidR="0066582D" w:rsidRDefault="0066582D" w:rsidP="0066582D">
      <w:pPr>
        <w:pStyle w:val="answerlines"/>
      </w:pPr>
      <w:r>
        <w:tab/>
      </w:r>
    </w:p>
    <w:p w14:paraId="533AB23B" w14:textId="77777777" w:rsidR="0066582D" w:rsidRDefault="0066582D" w:rsidP="0066582D">
      <w:pPr>
        <w:pStyle w:val="answerlines"/>
      </w:pPr>
      <w:r>
        <w:tab/>
      </w:r>
    </w:p>
    <w:p w14:paraId="0DD475F3" w14:textId="77777777" w:rsidR="0066582D" w:rsidRDefault="0066582D" w:rsidP="0066582D">
      <w:pPr>
        <w:pStyle w:val="answerlines"/>
      </w:pPr>
      <w:r>
        <w:tab/>
      </w:r>
    </w:p>
    <w:p w14:paraId="2ABDB010" w14:textId="77777777" w:rsidR="0066582D" w:rsidRDefault="0066582D" w:rsidP="0066582D">
      <w:pPr>
        <w:pStyle w:val="answerlines"/>
      </w:pPr>
      <w:r>
        <w:tab/>
      </w:r>
    </w:p>
    <w:p w14:paraId="4A1825E9" w14:textId="77777777" w:rsidR="0066582D" w:rsidRDefault="0066582D" w:rsidP="0066582D">
      <w:pPr>
        <w:pStyle w:val="answerlines"/>
      </w:pPr>
      <w:r>
        <w:tab/>
      </w:r>
    </w:p>
    <w:p w14:paraId="1B733C28" w14:textId="77777777" w:rsidR="0066582D" w:rsidRDefault="0066582D" w:rsidP="0066582D">
      <w:pPr>
        <w:pStyle w:val="answerlines"/>
      </w:pPr>
      <w:r>
        <w:tab/>
      </w:r>
    </w:p>
    <w:p w14:paraId="2ED77C36" w14:textId="77777777" w:rsidR="0066582D" w:rsidRDefault="0066582D" w:rsidP="0066582D">
      <w:pPr>
        <w:pStyle w:val="answerlines"/>
      </w:pPr>
      <w:r>
        <w:tab/>
      </w:r>
    </w:p>
    <w:p w14:paraId="1BC4E781" w14:textId="77777777" w:rsidR="0066582D" w:rsidRDefault="0066582D" w:rsidP="0066582D">
      <w:pPr>
        <w:pStyle w:val="answerlines"/>
      </w:pPr>
      <w:r>
        <w:tab/>
      </w:r>
    </w:p>
    <w:p w14:paraId="6BF20911" w14:textId="77777777" w:rsidR="0066582D" w:rsidRDefault="0066582D" w:rsidP="0066582D">
      <w:pPr>
        <w:pStyle w:val="answerlines"/>
      </w:pPr>
      <w:r>
        <w:tab/>
      </w:r>
    </w:p>
    <w:p w14:paraId="3F52BCC6" w14:textId="77777777" w:rsidR="0066582D" w:rsidRDefault="0066582D" w:rsidP="0066582D">
      <w:pPr>
        <w:pStyle w:val="answerlines"/>
      </w:pPr>
      <w:r>
        <w:tab/>
      </w:r>
    </w:p>
    <w:p w14:paraId="6420CB79" w14:textId="77777777" w:rsidR="0066582D" w:rsidRDefault="0066582D" w:rsidP="0066582D">
      <w:pPr>
        <w:pStyle w:val="answerlines"/>
      </w:pPr>
      <w:r>
        <w:tab/>
      </w:r>
    </w:p>
    <w:p w14:paraId="592ACF1A" w14:textId="77777777" w:rsidR="0066582D" w:rsidRDefault="0066582D" w:rsidP="0066582D">
      <w:pPr>
        <w:pStyle w:val="answerlines"/>
      </w:pPr>
      <w:r>
        <w:tab/>
      </w:r>
    </w:p>
    <w:p w14:paraId="5A57F2BC" w14:textId="77777777" w:rsidR="0066582D" w:rsidRDefault="0066582D" w:rsidP="0066582D">
      <w:pPr>
        <w:pStyle w:val="answerlines"/>
      </w:pPr>
      <w:r>
        <w:tab/>
      </w:r>
    </w:p>
    <w:p w14:paraId="7B07EB6A" w14:textId="77777777" w:rsidR="0066582D" w:rsidRDefault="0066582D" w:rsidP="0066582D">
      <w:pPr>
        <w:pStyle w:val="answerlines"/>
      </w:pPr>
      <w:r>
        <w:tab/>
      </w:r>
    </w:p>
    <w:p w14:paraId="79DF2888" w14:textId="77777777" w:rsidR="0066582D" w:rsidRDefault="0066582D" w:rsidP="0066582D">
      <w:pPr>
        <w:pStyle w:val="answerlines"/>
      </w:pPr>
      <w:r>
        <w:tab/>
      </w:r>
    </w:p>
    <w:p w14:paraId="0122E052" w14:textId="77777777" w:rsidR="0066582D" w:rsidRDefault="0066582D" w:rsidP="0066582D">
      <w:pPr>
        <w:pStyle w:val="answerlines"/>
      </w:pPr>
      <w:r>
        <w:tab/>
      </w:r>
    </w:p>
    <w:p w14:paraId="32046775" w14:textId="77777777" w:rsidR="0066582D" w:rsidRDefault="0066582D" w:rsidP="0066582D">
      <w:pPr>
        <w:pStyle w:val="answerlines"/>
      </w:pPr>
      <w:r>
        <w:tab/>
      </w:r>
    </w:p>
    <w:p w14:paraId="6E01B9C9" w14:textId="77777777" w:rsidR="0066582D" w:rsidRDefault="0066582D" w:rsidP="0066582D">
      <w:pPr>
        <w:pStyle w:val="answerlines"/>
      </w:pPr>
      <w:r>
        <w:tab/>
      </w:r>
    </w:p>
    <w:p w14:paraId="534147E5" w14:textId="77777777" w:rsidR="0066582D" w:rsidRDefault="0066582D" w:rsidP="0066582D">
      <w:pPr>
        <w:pStyle w:val="answerlines"/>
      </w:pPr>
      <w:r>
        <w:tab/>
      </w:r>
    </w:p>
    <w:p w14:paraId="0A7005C5" w14:textId="77777777" w:rsidR="0066582D" w:rsidRDefault="0066582D" w:rsidP="0066582D">
      <w:pPr>
        <w:pStyle w:val="answerlines"/>
      </w:pPr>
      <w:r>
        <w:tab/>
      </w:r>
    </w:p>
    <w:p w14:paraId="069A076C" w14:textId="77777777" w:rsidR="0066582D" w:rsidRDefault="0066582D" w:rsidP="0066582D">
      <w:pPr>
        <w:pStyle w:val="answerlines"/>
      </w:pPr>
      <w:r>
        <w:tab/>
      </w:r>
    </w:p>
    <w:p w14:paraId="5E1B7E31" w14:textId="77777777" w:rsidR="0066582D" w:rsidRDefault="0066582D" w:rsidP="0066582D">
      <w:pPr>
        <w:pStyle w:val="answerlines"/>
      </w:pPr>
      <w:r>
        <w:tab/>
      </w:r>
    </w:p>
    <w:p w14:paraId="20701C17" w14:textId="07F256A1" w:rsidR="00327162" w:rsidRPr="00327162" w:rsidRDefault="00327162" w:rsidP="00327162">
      <w:pPr>
        <w:rPr>
          <w:lang w:eastAsia="en-GB"/>
        </w:rPr>
      </w:pPr>
    </w:p>
    <w:p w14:paraId="7B8CAEA1" w14:textId="09030DFB" w:rsidR="004E05B9" w:rsidRDefault="004E05B9" w:rsidP="00327162">
      <w:pPr>
        <w:autoSpaceDE w:val="0"/>
        <w:autoSpaceDN w:val="0"/>
        <w:adjustRightInd w:val="0"/>
        <w:spacing w:after="0" w:line="240" w:lineRule="auto"/>
        <w:rPr>
          <w:rFonts w:ascii="MyriadPro-Regular" w:hAnsi="MyriadPro-Regular" w:cs="MyriadPro-Regular"/>
          <w:sz w:val="24"/>
          <w:szCs w:val="24"/>
        </w:rPr>
      </w:pPr>
      <w:r w:rsidRPr="004E05B9">
        <w:rPr>
          <w:rFonts w:ascii="MyriadPro-Regular" w:hAnsi="MyriadPro-Regular" w:cs="MyriadPro-Regular"/>
          <w:noProof/>
          <w:sz w:val="24"/>
          <w:szCs w:val="24"/>
          <w:lang w:eastAsia="en-GB"/>
        </w:rPr>
        <w:lastRenderedPageBreak/>
        <w:drawing>
          <wp:anchor distT="0" distB="0" distL="114300" distR="114300" simplePos="0" relativeHeight="251660288" behindDoc="1" locked="0" layoutInCell="1" allowOverlap="1" wp14:anchorId="2F5A9522" wp14:editId="78B9BFE1">
            <wp:simplePos x="0" y="0"/>
            <wp:positionH relativeFrom="margin">
              <wp:align>left</wp:align>
            </wp:positionH>
            <wp:positionV relativeFrom="paragraph">
              <wp:posOffset>0</wp:posOffset>
            </wp:positionV>
            <wp:extent cx="6049010" cy="3063240"/>
            <wp:effectExtent l="0" t="0" r="8890" b="3810"/>
            <wp:wrapTight wrapText="bothSides">
              <wp:wrapPolygon edited="0">
                <wp:start x="0" y="0"/>
                <wp:lineTo x="0" y="21493"/>
                <wp:lineTo x="21564" y="21493"/>
                <wp:lineTo x="2156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049010" cy="3063240"/>
                    </a:xfrm>
                    <a:prstGeom prst="rect">
                      <a:avLst/>
                    </a:prstGeom>
                  </pic:spPr>
                </pic:pic>
              </a:graphicData>
            </a:graphic>
            <wp14:sizeRelH relativeFrom="page">
              <wp14:pctWidth>0</wp14:pctWidth>
            </wp14:sizeRelH>
            <wp14:sizeRelV relativeFrom="page">
              <wp14:pctHeight>0</wp14:pctHeight>
            </wp14:sizeRelV>
          </wp:anchor>
        </w:drawing>
      </w:r>
    </w:p>
    <w:p w14:paraId="7960CAD4" w14:textId="5423C6C1" w:rsidR="00327162" w:rsidRDefault="00327162" w:rsidP="00327162">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Warby Parker’s main corporate objective is to grow the business. The management is</w:t>
      </w:r>
    </w:p>
    <w:p w14:paraId="11522712" w14:textId="77777777" w:rsidR="00327162" w:rsidRDefault="00327162" w:rsidP="00327162">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considering two options, either to develop a new range of contact lenses for the high</w:t>
      </w:r>
    </w:p>
    <w:p w14:paraId="17B1A15A" w14:textId="6F0B1F4F" w:rsidR="00327162" w:rsidRDefault="00327162" w:rsidP="00327162">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income market, or to start selling glasses in the low income market.</w:t>
      </w:r>
    </w:p>
    <w:p w14:paraId="18BD1350" w14:textId="77777777" w:rsidR="00327162" w:rsidRDefault="00327162" w:rsidP="00327162">
      <w:pPr>
        <w:autoSpaceDE w:val="0"/>
        <w:autoSpaceDN w:val="0"/>
        <w:adjustRightInd w:val="0"/>
        <w:spacing w:after="0" w:line="240" w:lineRule="auto"/>
        <w:rPr>
          <w:rFonts w:ascii="MyriadPro-Regular" w:hAnsi="MyriadPro-Regular" w:cs="MyriadPro-Regular"/>
          <w:sz w:val="24"/>
          <w:szCs w:val="24"/>
        </w:rPr>
      </w:pPr>
    </w:p>
    <w:p w14:paraId="2296110C" w14:textId="34F4A16F" w:rsidR="00327162" w:rsidRDefault="00327162" w:rsidP="00327162">
      <w:pPr>
        <w:autoSpaceDE w:val="0"/>
        <w:autoSpaceDN w:val="0"/>
        <w:adjustRightInd w:val="0"/>
        <w:spacing w:after="0" w:line="240" w:lineRule="auto"/>
        <w:ind w:left="720" w:hanging="720"/>
        <w:rPr>
          <w:rFonts w:ascii="MyriadPro-Regular" w:hAnsi="MyriadPro-Regular" w:cs="MyriadPro-Regular"/>
          <w:sz w:val="24"/>
          <w:szCs w:val="24"/>
        </w:rPr>
      </w:pPr>
      <w:r>
        <w:rPr>
          <w:rFonts w:ascii="MyriadPro-Regular" w:hAnsi="MyriadPro-Regular" w:cs="MyriadPro-Regular"/>
          <w:sz w:val="24"/>
          <w:szCs w:val="24"/>
        </w:rPr>
        <w:t>3</w:t>
      </w:r>
      <w:r>
        <w:rPr>
          <w:rFonts w:ascii="MyriadPro-Regular" w:hAnsi="MyriadPro-Regular" w:cs="MyriadPro-Regular"/>
          <w:sz w:val="24"/>
          <w:szCs w:val="24"/>
        </w:rPr>
        <w:tab/>
        <w:t xml:space="preserve">Evaluate these two options and recommend which </w:t>
      </w:r>
      <w:r>
        <w:rPr>
          <w:rFonts w:ascii="MyriadPro-Bold" w:hAnsi="MyriadPro-Bold" w:cs="MyriadPro-Bold"/>
          <w:b/>
          <w:bCs/>
          <w:sz w:val="24"/>
          <w:szCs w:val="24"/>
        </w:rPr>
        <w:t xml:space="preserve">one </w:t>
      </w:r>
      <w:r>
        <w:rPr>
          <w:rFonts w:ascii="MyriadPro-Regular" w:hAnsi="MyriadPro-Regular" w:cs="MyriadPro-Regular"/>
          <w:sz w:val="24"/>
          <w:szCs w:val="24"/>
        </w:rPr>
        <w:t>is most likely to achieve Warby Parker’s main corporate objective.</w:t>
      </w:r>
    </w:p>
    <w:p w14:paraId="27E1F9B1" w14:textId="180F32EF" w:rsidR="004E05B9" w:rsidRDefault="004E05B9" w:rsidP="004E05B9">
      <w:pPr>
        <w:pStyle w:val="partmarks"/>
      </w:pPr>
      <w:r>
        <w:t>(20)</w:t>
      </w:r>
    </w:p>
    <w:p w14:paraId="26AA0EB8" w14:textId="77777777" w:rsidR="0066582D" w:rsidRDefault="0066582D" w:rsidP="0066582D">
      <w:pPr>
        <w:pStyle w:val="answerlines"/>
      </w:pPr>
      <w:r>
        <w:tab/>
      </w:r>
    </w:p>
    <w:p w14:paraId="65037CC3" w14:textId="77777777" w:rsidR="0066582D" w:rsidRDefault="0066582D" w:rsidP="0066582D">
      <w:pPr>
        <w:pStyle w:val="answerlines"/>
      </w:pPr>
      <w:r>
        <w:tab/>
      </w:r>
    </w:p>
    <w:p w14:paraId="51D62F76" w14:textId="77777777" w:rsidR="0066582D" w:rsidRDefault="0066582D" w:rsidP="0066582D">
      <w:pPr>
        <w:pStyle w:val="answerlines"/>
      </w:pPr>
      <w:r>
        <w:tab/>
      </w:r>
    </w:p>
    <w:p w14:paraId="20E7ADEA" w14:textId="77777777" w:rsidR="0066582D" w:rsidRDefault="0066582D" w:rsidP="0066582D">
      <w:pPr>
        <w:pStyle w:val="answerlines"/>
      </w:pPr>
      <w:r>
        <w:tab/>
      </w:r>
    </w:p>
    <w:p w14:paraId="7307C0FF" w14:textId="77777777" w:rsidR="0066582D" w:rsidRDefault="0066582D" w:rsidP="0066582D">
      <w:pPr>
        <w:pStyle w:val="answerlines"/>
      </w:pPr>
      <w:r>
        <w:tab/>
      </w:r>
    </w:p>
    <w:p w14:paraId="0B83F26C" w14:textId="77777777" w:rsidR="0066582D" w:rsidRDefault="0066582D" w:rsidP="0066582D">
      <w:pPr>
        <w:pStyle w:val="answerlines"/>
      </w:pPr>
      <w:r>
        <w:tab/>
      </w:r>
    </w:p>
    <w:p w14:paraId="5FF7CF68" w14:textId="77777777" w:rsidR="0066582D" w:rsidRDefault="0066582D" w:rsidP="0066582D">
      <w:pPr>
        <w:pStyle w:val="answerlines"/>
      </w:pPr>
      <w:r>
        <w:tab/>
      </w:r>
    </w:p>
    <w:p w14:paraId="40DCAF22" w14:textId="77777777" w:rsidR="0066582D" w:rsidRDefault="0066582D" w:rsidP="0066582D">
      <w:pPr>
        <w:pStyle w:val="answerlines"/>
      </w:pPr>
      <w:r>
        <w:tab/>
      </w:r>
    </w:p>
    <w:p w14:paraId="6D3789D5" w14:textId="77777777" w:rsidR="0066582D" w:rsidRDefault="0066582D" w:rsidP="0066582D">
      <w:pPr>
        <w:pStyle w:val="answerlines"/>
      </w:pPr>
      <w:r>
        <w:tab/>
      </w:r>
    </w:p>
    <w:p w14:paraId="06AFB275" w14:textId="77777777" w:rsidR="0066582D" w:rsidRDefault="0066582D" w:rsidP="0066582D">
      <w:pPr>
        <w:pStyle w:val="answerlines"/>
      </w:pPr>
      <w:r>
        <w:tab/>
      </w:r>
    </w:p>
    <w:p w14:paraId="1D5DF292" w14:textId="77777777" w:rsidR="0066582D" w:rsidRDefault="0066582D" w:rsidP="0066582D">
      <w:pPr>
        <w:pStyle w:val="answerlines"/>
      </w:pPr>
      <w:r>
        <w:tab/>
      </w:r>
    </w:p>
    <w:p w14:paraId="382F8A21" w14:textId="77777777" w:rsidR="0066582D" w:rsidRDefault="0066582D" w:rsidP="0066582D">
      <w:pPr>
        <w:pStyle w:val="answerlines"/>
      </w:pPr>
      <w:r>
        <w:lastRenderedPageBreak/>
        <w:tab/>
      </w:r>
    </w:p>
    <w:p w14:paraId="12D2EB95" w14:textId="77777777" w:rsidR="0066582D" w:rsidRDefault="0066582D" w:rsidP="0066582D">
      <w:pPr>
        <w:pStyle w:val="answerlines"/>
      </w:pPr>
      <w:r>
        <w:tab/>
      </w:r>
    </w:p>
    <w:p w14:paraId="40A47391" w14:textId="77777777" w:rsidR="0066582D" w:rsidRDefault="0066582D" w:rsidP="0066582D">
      <w:pPr>
        <w:pStyle w:val="answerlines"/>
      </w:pPr>
      <w:r>
        <w:tab/>
      </w:r>
    </w:p>
    <w:p w14:paraId="7FF2639A" w14:textId="77777777" w:rsidR="0066582D" w:rsidRDefault="0066582D" w:rsidP="0066582D">
      <w:pPr>
        <w:pStyle w:val="answerlines"/>
      </w:pPr>
      <w:r>
        <w:tab/>
      </w:r>
    </w:p>
    <w:p w14:paraId="10E41AA9" w14:textId="77777777" w:rsidR="0066582D" w:rsidRDefault="0066582D" w:rsidP="0066582D">
      <w:pPr>
        <w:pStyle w:val="answerlines"/>
      </w:pPr>
      <w:r>
        <w:tab/>
      </w:r>
    </w:p>
    <w:p w14:paraId="19DF87DC" w14:textId="77777777" w:rsidR="0066582D" w:rsidRDefault="0066582D" w:rsidP="0066582D">
      <w:pPr>
        <w:pStyle w:val="answerlines"/>
      </w:pPr>
      <w:r>
        <w:tab/>
      </w:r>
    </w:p>
    <w:p w14:paraId="2F6BBAD2" w14:textId="77777777" w:rsidR="0066582D" w:rsidRDefault="0066582D" w:rsidP="0066582D">
      <w:pPr>
        <w:pStyle w:val="answerlines"/>
      </w:pPr>
      <w:r>
        <w:tab/>
      </w:r>
    </w:p>
    <w:p w14:paraId="52EAD118" w14:textId="77777777" w:rsidR="0066582D" w:rsidRDefault="0066582D" w:rsidP="0066582D">
      <w:pPr>
        <w:pStyle w:val="answerlines"/>
      </w:pPr>
      <w:r>
        <w:tab/>
      </w:r>
    </w:p>
    <w:p w14:paraId="15647883" w14:textId="77777777" w:rsidR="0066582D" w:rsidRDefault="0066582D" w:rsidP="0066582D">
      <w:pPr>
        <w:pStyle w:val="answerlines"/>
      </w:pPr>
      <w:r>
        <w:tab/>
      </w:r>
    </w:p>
    <w:p w14:paraId="4A6FF78E" w14:textId="77777777" w:rsidR="0066582D" w:rsidRDefault="0066582D" w:rsidP="0066582D">
      <w:pPr>
        <w:pStyle w:val="answerlines"/>
      </w:pPr>
      <w:r>
        <w:tab/>
      </w:r>
    </w:p>
    <w:p w14:paraId="4478E4BE" w14:textId="77777777" w:rsidR="0066582D" w:rsidRDefault="0066582D" w:rsidP="0066582D">
      <w:pPr>
        <w:pStyle w:val="answerlines"/>
      </w:pPr>
      <w:r>
        <w:tab/>
      </w:r>
    </w:p>
    <w:p w14:paraId="6CEC24E9" w14:textId="77777777" w:rsidR="0066582D" w:rsidRDefault="0066582D" w:rsidP="0066582D">
      <w:pPr>
        <w:pStyle w:val="answerlines"/>
      </w:pPr>
      <w:r>
        <w:tab/>
      </w:r>
    </w:p>
    <w:p w14:paraId="3A510152" w14:textId="77777777" w:rsidR="0066582D" w:rsidRDefault="0066582D" w:rsidP="0066582D">
      <w:pPr>
        <w:pStyle w:val="answerlines"/>
      </w:pPr>
      <w:r>
        <w:tab/>
      </w:r>
    </w:p>
    <w:p w14:paraId="50AC783C" w14:textId="77777777" w:rsidR="0066582D" w:rsidRDefault="0066582D" w:rsidP="0066582D">
      <w:pPr>
        <w:pStyle w:val="answerlines"/>
      </w:pPr>
      <w:r>
        <w:tab/>
      </w:r>
    </w:p>
    <w:p w14:paraId="038D80A6" w14:textId="77777777" w:rsidR="0066582D" w:rsidRDefault="0066582D" w:rsidP="0066582D">
      <w:pPr>
        <w:pStyle w:val="answerlines"/>
      </w:pPr>
      <w:r>
        <w:tab/>
      </w:r>
    </w:p>
    <w:p w14:paraId="668D1487" w14:textId="77777777" w:rsidR="0066582D" w:rsidRDefault="0066582D" w:rsidP="0066582D">
      <w:pPr>
        <w:pStyle w:val="answerlines"/>
      </w:pPr>
      <w:r>
        <w:tab/>
      </w:r>
    </w:p>
    <w:p w14:paraId="4D597009" w14:textId="77777777" w:rsidR="0066582D" w:rsidRDefault="0066582D" w:rsidP="0066582D">
      <w:pPr>
        <w:pStyle w:val="answerlines"/>
      </w:pPr>
      <w:r>
        <w:tab/>
      </w:r>
    </w:p>
    <w:p w14:paraId="7B2BDFCF" w14:textId="77777777" w:rsidR="0066582D" w:rsidRDefault="0066582D" w:rsidP="0066582D">
      <w:pPr>
        <w:pStyle w:val="answerlines"/>
      </w:pPr>
      <w:r>
        <w:tab/>
      </w:r>
    </w:p>
    <w:p w14:paraId="5D360088" w14:textId="77777777" w:rsidR="0066582D" w:rsidRDefault="0066582D" w:rsidP="0066582D">
      <w:pPr>
        <w:pStyle w:val="answerlines"/>
      </w:pPr>
      <w:r>
        <w:tab/>
      </w:r>
    </w:p>
    <w:p w14:paraId="7BBF56D1" w14:textId="77777777" w:rsidR="0066582D" w:rsidRDefault="0066582D" w:rsidP="0066582D">
      <w:pPr>
        <w:pStyle w:val="answerlines"/>
      </w:pPr>
      <w:r>
        <w:tab/>
      </w:r>
    </w:p>
    <w:p w14:paraId="767281F7" w14:textId="77777777" w:rsidR="0066582D" w:rsidRDefault="0066582D" w:rsidP="0066582D">
      <w:pPr>
        <w:pStyle w:val="answerlines"/>
      </w:pPr>
      <w:r>
        <w:tab/>
      </w:r>
    </w:p>
    <w:p w14:paraId="21F0CC41" w14:textId="77777777" w:rsidR="0066582D" w:rsidRDefault="0066582D" w:rsidP="0066582D">
      <w:pPr>
        <w:pStyle w:val="answerlines"/>
      </w:pPr>
      <w:r>
        <w:tab/>
      </w:r>
    </w:p>
    <w:p w14:paraId="2DD8A644" w14:textId="77777777" w:rsidR="0066582D" w:rsidRDefault="0066582D" w:rsidP="0066582D">
      <w:pPr>
        <w:pStyle w:val="answerlines"/>
      </w:pPr>
      <w:r>
        <w:tab/>
      </w:r>
    </w:p>
    <w:p w14:paraId="6B6F5192" w14:textId="77777777" w:rsidR="0066582D" w:rsidRDefault="0066582D" w:rsidP="0066582D">
      <w:pPr>
        <w:pStyle w:val="answerlines"/>
      </w:pPr>
      <w:r>
        <w:tab/>
      </w:r>
    </w:p>
    <w:p w14:paraId="1A21B0ED" w14:textId="1299C6DE" w:rsidR="009508EE" w:rsidRDefault="0066582D" w:rsidP="0066582D">
      <w:pPr>
        <w:pStyle w:val="answerlines"/>
      </w:pPr>
      <w:r>
        <w:tab/>
      </w:r>
      <w:bookmarkStart w:id="0" w:name="_GoBack"/>
      <w:bookmarkEnd w:id="0"/>
      <w:r w:rsidR="009508EE">
        <w:br w:type="page"/>
      </w:r>
    </w:p>
    <w:p w14:paraId="6314906B" w14:textId="638C4E98" w:rsidR="009508EE" w:rsidRPr="00EA0534" w:rsidRDefault="00EA0534" w:rsidP="00EA0534">
      <w:pPr>
        <w:jc w:val="center"/>
        <w:rPr>
          <w:b/>
          <w:bCs/>
          <w:sz w:val="24"/>
          <w:szCs w:val="24"/>
        </w:rPr>
      </w:pPr>
      <w:r w:rsidRPr="009508EE">
        <w:rPr>
          <w:noProof/>
          <w:lang w:eastAsia="en-GB"/>
        </w:rPr>
        <w:lastRenderedPageBreak/>
        <w:drawing>
          <wp:anchor distT="0" distB="0" distL="114300" distR="114300" simplePos="0" relativeHeight="251662336" behindDoc="1" locked="0" layoutInCell="1" allowOverlap="1" wp14:anchorId="298DAFB1" wp14:editId="119EEC80">
            <wp:simplePos x="0" y="0"/>
            <wp:positionH relativeFrom="margin">
              <wp:posOffset>-635</wp:posOffset>
            </wp:positionH>
            <wp:positionV relativeFrom="paragraph">
              <wp:posOffset>341961</wp:posOffset>
            </wp:positionV>
            <wp:extent cx="5755640" cy="3052445"/>
            <wp:effectExtent l="0" t="0" r="0" b="0"/>
            <wp:wrapTight wrapText="bothSides">
              <wp:wrapPolygon edited="0">
                <wp:start x="0" y="0"/>
                <wp:lineTo x="0" y="21434"/>
                <wp:lineTo x="21519" y="21434"/>
                <wp:lineTo x="21519"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755640" cy="3052445"/>
                    </a:xfrm>
                    <a:prstGeom prst="rect">
                      <a:avLst/>
                    </a:prstGeom>
                  </pic:spPr>
                </pic:pic>
              </a:graphicData>
            </a:graphic>
            <wp14:sizeRelH relativeFrom="page">
              <wp14:pctWidth>0</wp14:pctWidth>
            </wp14:sizeRelH>
            <wp14:sizeRelV relativeFrom="page">
              <wp14:pctHeight>0</wp14:pctHeight>
            </wp14:sizeRelV>
          </wp:anchor>
        </w:drawing>
      </w:r>
      <w:r w:rsidRPr="00EA0534">
        <w:rPr>
          <w:b/>
          <w:bCs/>
          <w:sz w:val="24"/>
          <w:szCs w:val="24"/>
        </w:rPr>
        <w:t>3.1.3 SWOT Analysis</w:t>
      </w:r>
    </w:p>
    <w:p w14:paraId="56AC3BEE" w14:textId="072EF633" w:rsidR="009508EE" w:rsidRDefault="00EA0534">
      <w:r w:rsidRPr="009508EE">
        <w:rPr>
          <w:noProof/>
          <w:lang w:eastAsia="en-GB"/>
        </w:rPr>
        <w:drawing>
          <wp:anchor distT="0" distB="0" distL="114300" distR="114300" simplePos="0" relativeHeight="251661312" behindDoc="1" locked="0" layoutInCell="1" allowOverlap="1" wp14:anchorId="4F183E19" wp14:editId="2FA7B8C7">
            <wp:simplePos x="0" y="0"/>
            <wp:positionH relativeFrom="margin">
              <wp:align>left</wp:align>
            </wp:positionH>
            <wp:positionV relativeFrom="paragraph">
              <wp:posOffset>3388029</wp:posOffset>
            </wp:positionV>
            <wp:extent cx="5831205" cy="3002915"/>
            <wp:effectExtent l="0" t="0" r="0" b="6985"/>
            <wp:wrapTight wrapText="bothSides">
              <wp:wrapPolygon edited="0">
                <wp:start x="0" y="0"/>
                <wp:lineTo x="0" y="21513"/>
                <wp:lineTo x="21522" y="21513"/>
                <wp:lineTo x="2152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831205" cy="3002915"/>
                    </a:xfrm>
                    <a:prstGeom prst="rect">
                      <a:avLst/>
                    </a:prstGeom>
                  </pic:spPr>
                </pic:pic>
              </a:graphicData>
            </a:graphic>
            <wp14:sizeRelH relativeFrom="page">
              <wp14:pctWidth>0</wp14:pctWidth>
            </wp14:sizeRelH>
            <wp14:sizeRelV relativeFrom="page">
              <wp14:pctHeight>0</wp14:pctHeight>
            </wp14:sizeRelV>
          </wp:anchor>
        </w:drawing>
      </w:r>
    </w:p>
    <w:p w14:paraId="2825BC1A" w14:textId="6A061A61" w:rsidR="009508EE" w:rsidRDefault="009508EE"/>
    <w:p w14:paraId="2EDF41E5" w14:textId="77777777" w:rsidR="009508EE" w:rsidRDefault="009508EE">
      <w:pPr>
        <w:rPr>
          <w:rFonts w:ascii="MyriadPro-Regular" w:hAnsi="MyriadPro-Regular" w:cs="MyriadPro-Regular"/>
          <w:sz w:val="24"/>
          <w:szCs w:val="24"/>
        </w:rPr>
      </w:pPr>
    </w:p>
    <w:p w14:paraId="184A4A11" w14:textId="77777777" w:rsidR="009508EE" w:rsidRDefault="009508EE">
      <w:pPr>
        <w:rPr>
          <w:rFonts w:ascii="MyriadPro-Regular" w:hAnsi="MyriadPro-Regular" w:cs="MyriadPro-Regular"/>
          <w:sz w:val="24"/>
          <w:szCs w:val="24"/>
        </w:rPr>
      </w:pPr>
    </w:p>
    <w:p w14:paraId="55E1AE33" w14:textId="77777777" w:rsidR="009508EE" w:rsidRDefault="009508EE">
      <w:pPr>
        <w:rPr>
          <w:rFonts w:ascii="MyriadPro-Regular" w:hAnsi="MyriadPro-Regular" w:cs="MyriadPro-Regular"/>
          <w:sz w:val="24"/>
          <w:szCs w:val="24"/>
        </w:rPr>
      </w:pPr>
    </w:p>
    <w:p w14:paraId="5D8E81CA" w14:textId="77777777" w:rsidR="009508EE" w:rsidRDefault="009508EE">
      <w:pPr>
        <w:rPr>
          <w:rFonts w:ascii="MyriadPro-Regular" w:hAnsi="MyriadPro-Regular" w:cs="MyriadPro-Regular"/>
          <w:sz w:val="24"/>
          <w:szCs w:val="24"/>
        </w:rPr>
      </w:pPr>
    </w:p>
    <w:p w14:paraId="49EA0356" w14:textId="77777777" w:rsidR="009508EE" w:rsidRDefault="009508EE">
      <w:pPr>
        <w:rPr>
          <w:rFonts w:ascii="MyriadPro-Regular" w:hAnsi="MyriadPro-Regular" w:cs="MyriadPro-Regular"/>
          <w:sz w:val="24"/>
          <w:szCs w:val="24"/>
        </w:rPr>
      </w:pPr>
    </w:p>
    <w:p w14:paraId="4E42E89F" w14:textId="77777777" w:rsidR="009508EE" w:rsidRDefault="009508EE">
      <w:pPr>
        <w:rPr>
          <w:rFonts w:ascii="MyriadPro-Regular" w:hAnsi="MyriadPro-Regular" w:cs="MyriadPro-Regular"/>
          <w:sz w:val="24"/>
          <w:szCs w:val="24"/>
        </w:rPr>
      </w:pPr>
    </w:p>
    <w:p w14:paraId="59428320" w14:textId="6D0B0F58" w:rsidR="009508EE" w:rsidRDefault="009508EE">
      <w:pPr>
        <w:rPr>
          <w:rFonts w:ascii="MyriadPro-Regular" w:hAnsi="MyriadPro-Regular" w:cs="MyriadPro-Regular"/>
          <w:sz w:val="24"/>
          <w:szCs w:val="24"/>
        </w:rPr>
      </w:pPr>
      <w:r w:rsidRPr="009508EE">
        <w:rPr>
          <w:noProof/>
          <w:lang w:eastAsia="en-GB"/>
        </w:rPr>
        <w:lastRenderedPageBreak/>
        <w:drawing>
          <wp:anchor distT="0" distB="0" distL="114300" distR="114300" simplePos="0" relativeHeight="251663360" behindDoc="1" locked="0" layoutInCell="1" allowOverlap="1" wp14:anchorId="27DBA222" wp14:editId="042C4A82">
            <wp:simplePos x="0" y="0"/>
            <wp:positionH relativeFrom="margin">
              <wp:posOffset>126365</wp:posOffset>
            </wp:positionH>
            <wp:positionV relativeFrom="paragraph">
              <wp:posOffset>0</wp:posOffset>
            </wp:positionV>
            <wp:extent cx="5695315" cy="3157855"/>
            <wp:effectExtent l="0" t="0" r="635" b="4445"/>
            <wp:wrapTight wrapText="bothSides">
              <wp:wrapPolygon edited="0">
                <wp:start x="0" y="0"/>
                <wp:lineTo x="0" y="21500"/>
                <wp:lineTo x="21530" y="21500"/>
                <wp:lineTo x="2153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695315" cy="3157855"/>
                    </a:xfrm>
                    <a:prstGeom prst="rect">
                      <a:avLst/>
                    </a:prstGeom>
                  </pic:spPr>
                </pic:pic>
              </a:graphicData>
            </a:graphic>
            <wp14:sizeRelH relativeFrom="page">
              <wp14:pctWidth>0</wp14:pctWidth>
            </wp14:sizeRelH>
            <wp14:sizeRelV relativeFrom="page">
              <wp14:pctHeight>0</wp14:pctHeight>
            </wp14:sizeRelV>
          </wp:anchor>
        </w:drawing>
      </w:r>
    </w:p>
    <w:p w14:paraId="0DB53214" w14:textId="6D1A2F4B" w:rsidR="009508EE" w:rsidRDefault="008D4E2E">
      <w:pPr>
        <w:rPr>
          <w:rFonts w:ascii="MyriadPro-Regular" w:hAnsi="MyriadPro-Regular" w:cs="MyriadPro-Regular"/>
          <w:sz w:val="24"/>
          <w:szCs w:val="24"/>
        </w:rPr>
      </w:pPr>
      <w:r>
        <w:rPr>
          <w:rFonts w:ascii="MyriadPro-Regular" w:hAnsi="MyriadPro-Regular" w:cs="MyriadPro-Regular"/>
          <w:sz w:val="24"/>
          <w:szCs w:val="24"/>
        </w:rPr>
        <w:t>4</w:t>
      </w:r>
      <w:r>
        <w:rPr>
          <w:rFonts w:ascii="MyriadPro-Regular" w:hAnsi="MyriadPro-Regular" w:cs="MyriadPro-Regular"/>
          <w:sz w:val="24"/>
          <w:szCs w:val="24"/>
        </w:rPr>
        <w:tab/>
      </w:r>
      <w:r w:rsidR="009508EE">
        <w:rPr>
          <w:rFonts w:ascii="MyriadPro-Regular" w:hAnsi="MyriadPro-Regular" w:cs="MyriadPro-Regular"/>
          <w:sz w:val="24"/>
          <w:szCs w:val="24"/>
        </w:rPr>
        <w:t xml:space="preserve">Explain </w:t>
      </w:r>
      <w:r w:rsidR="009508EE">
        <w:rPr>
          <w:rFonts w:ascii="MyriadPro-Bold" w:hAnsi="MyriadPro-Bold" w:cs="MyriadPro-Bold"/>
          <w:b/>
          <w:bCs/>
          <w:sz w:val="24"/>
          <w:szCs w:val="24"/>
        </w:rPr>
        <w:t xml:space="preserve">one </w:t>
      </w:r>
      <w:r w:rsidR="009508EE">
        <w:rPr>
          <w:rFonts w:ascii="MyriadPro-Regular" w:hAnsi="MyriadPro-Regular" w:cs="MyriadPro-Regular"/>
          <w:sz w:val="24"/>
          <w:szCs w:val="24"/>
        </w:rPr>
        <w:t>benefit Sports Direct could gain from conducting a SWOT analysis.</w:t>
      </w:r>
    </w:p>
    <w:p w14:paraId="08D38BC6" w14:textId="20953241" w:rsidR="009508EE" w:rsidRDefault="009508EE" w:rsidP="009508EE">
      <w:pPr>
        <w:pStyle w:val="partmarks"/>
      </w:pPr>
      <w:r>
        <w:t>(4)</w:t>
      </w:r>
    </w:p>
    <w:p w14:paraId="16B5B192" w14:textId="16DA902D" w:rsidR="008D4E2E" w:rsidRDefault="008D4E2E" w:rsidP="008D4E2E">
      <w:pPr>
        <w:pStyle w:val="answerlines"/>
      </w:pPr>
      <w:r>
        <w:tab/>
      </w:r>
    </w:p>
    <w:p w14:paraId="59D9D54E" w14:textId="60D70E1D" w:rsidR="008D4E2E" w:rsidRDefault="008D4E2E" w:rsidP="008D4E2E">
      <w:pPr>
        <w:pStyle w:val="answerlines"/>
      </w:pPr>
      <w:r>
        <w:tab/>
      </w:r>
    </w:p>
    <w:p w14:paraId="35455171" w14:textId="4E914D05" w:rsidR="008D4E2E" w:rsidRDefault="008D4E2E" w:rsidP="008D4E2E">
      <w:pPr>
        <w:pStyle w:val="answerlines"/>
      </w:pPr>
      <w:r>
        <w:tab/>
      </w:r>
    </w:p>
    <w:p w14:paraId="37448E03" w14:textId="593C158F" w:rsidR="008D4E2E" w:rsidRDefault="008D4E2E" w:rsidP="008D4E2E">
      <w:pPr>
        <w:pStyle w:val="answerlines"/>
      </w:pPr>
      <w:r>
        <w:tab/>
      </w:r>
    </w:p>
    <w:p w14:paraId="7113EC4F" w14:textId="30F6E66A" w:rsidR="008D4E2E" w:rsidRDefault="008D4E2E" w:rsidP="008D4E2E">
      <w:pPr>
        <w:pStyle w:val="answerlines"/>
      </w:pPr>
      <w:r>
        <w:tab/>
      </w:r>
    </w:p>
    <w:p w14:paraId="0AF230F3" w14:textId="7D1D68D1" w:rsidR="008D4E2E" w:rsidRDefault="008D4E2E" w:rsidP="008D4E2E">
      <w:pPr>
        <w:pStyle w:val="answerlines"/>
      </w:pPr>
      <w:r>
        <w:tab/>
      </w:r>
    </w:p>
    <w:p w14:paraId="6C4B0299" w14:textId="305A6C10" w:rsidR="008D4E2E" w:rsidRDefault="008D4E2E" w:rsidP="008D4E2E">
      <w:pPr>
        <w:pStyle w:val="answerlines"/>
      </w:pPr>
      <w:r>
        <w:tab/>
      </w:r>
    </w:p>
    <w:p w14:paraId="7B1BCF64" w14:textId="5D22CA7F" w:rsidR="008D4E2E" w:rsidRDefault="008D4E2E" w:rsidP="008D4E2E">
      <w:pPr>
        <w:pStyle w:val="answerlines"/>
      </w:pPr>
      <w:r>
        <w:tab/>
      </w:r>
    </w:p>
    <w:p w14:paraId="1ABF57AF" w14:textId="255717CB" w:rsidR="00CE626E" w:rsidRDefault="00CE626E" w:rsidP="00CE626E"/>
    <w:p w14:paraId="19387E0C" w14:textId="274847C9" w:rsidR="00CE626E" w:rsidRDefault="00CE626E" w:rsidP="00CE626E"/>
    <w:p w14:paraId="1AF6B10E" w14:textId="04F3210F" w:rsidR="00CE626E" w:rsidRDefault="00CE626E" w:rsidP="00CE626E"/>
    <w:p w14:paraId="7E47EE0C" w14:textId="28844C01" w:rsidR="00CE626E" w:rsidRDefault="00CE626E" w:rsidP="00CE626E"/>
    <w:p w14:paraId="76648FC3" w14:textId="0AEC1E09" w:rsidR="00CE626E" w:rsidRDefault="00CE626E" w:rsidP="00CE626E"/>
    <w:p w14:paraId="1F48EBDB" w14:textId="4B8CE6F5" w:rsidR="00CE626E" w:rsidRDefault="00CE626E" w:rsidP="00CE626E"/>
    <w:p w14:paraId="778519E5" w14:textId="483F5EAD" w:rsidR="00CE626E" w:rsidRDefault="00CE626E" w:rsidP="00CE626E"/>
    <w:tbl>
      <w:tblPr>
        <w:tblpPr w:leftFromText="180" w:rightFromText="180" w:horzAnchor="margin" w:tblpY="-488"/>
        <w:tblW w:w="9606" w:type="dxa"/>
        <w:tblLayout w:type="fixed"/>
        <w:tblLook w:val="0000" w:firstRow="0" w:lastRow="0" w:firstColumn="0" w:lastColumn="0" w:noHBand="0" w:noVBand="0"/>
      </w:tblPr>
      <w:tblGrid>
        <w:gridCol w:w="1242"/>
        <w:gridCol w:w="7513"/>
        <w:gridCol w:w="851"/>
      </w:tblGrid>
      <w:tr w:rsidR="00CE626E" w:rsidRPr="00B068BD" w14:paraId="6BC10125" w14:textId="77777777" w:rsidTr="00CE626E">
        <w:trPr>
          <w:trHeight w:val="243"/>
        </w:trPr>
        <w:tc>
          <w:tcPr>
            <w:tcW w:w="1242" w:type="dxa"/>
            <w:tcBorders>
              <w:top w:val="single" w:sz="4" w:space="0" w:color="211D1E"/>
              <w:left w:val="single" w:sz="4" w:space="0" w:color="211D1E"/>
              <w:bottom w:val="single" w:sz="4" w:space="0" w:color="211D1E"/>
              <w:right w:val="single" w:sz="4" w:space="0" w:color="211D1E"/>
            </w:tcBorders>
            <w:shd w:val="clear" w:color="auto" w:fill="BFBFBF" w:themeFill="background1" w:themeFillShade="BF"/>
          </w:tcPr>
          <w:p w14:paraId="5E3AE86F" w14:textId="77777777" w:rsidR="00CE626E" w:rsidRPr="00B068BD" w:rsidRDefault="00CE626E" w:rsidP="00CE626E">
            <w:pPr>
              <w:pStyle w:val="Default"/>
              <w:rPr>
                <w:rFonts w:ascii="Verdana" w:hAnsi="Verdana" w:cs="Calibri"/>
                <w:color w:val="auto"/>
                <w:sz w:val="22"/>
                <w:szCs w:val="22"/>
              </w:rPr>
            </w:pPr>
            <w:r w:rsidRPr="00B068BD">
              <w:rPr>
                <w:rFonts w:ascii="Verdana" w:hAnsi="Verdana" w:cs="Calibri"/>
                <w:color w:val="auto"/>
                <w:sz w:val="22"/>
                <w:szCs w:val="22"/>
              </w:rPr>
              <w:lastRenderedPageBreak/>
              <w:t>Question Number</w:t>
            </w:r>
          </w:p>
        </w:tc>
        <w:tc>
          <w:tcPr>
            <w:tcW w:w="7513" w:type="dxa"/>
            <w:tcBorders>
              <w:top w:val="single" w:sz="4" w:space="0" w:color="211D1E"/>
              <w:left w:val="single" w:sz="4" w:space="0" w:color="211D1E"/>
              <w:bottom w:val="single" w:sz="4" w:space="0" w:color="211D1E"/>
              <w:right w:val="single" w:sz="4" w:space="0" w:color="211D1E"/>
            </w:tcBorders>
            <w:shd w:val="clear" w:color="auto" w:fill="BFBFBF" w:themeFill="background1" w:themeFillShade="BF"/>
            <w:vAlign w:val="center"/>
          </w:tcPr>
          <w:p w14:paraId="14F3DEB1" w14:textId="77777777" w:rsidR="00CE626E" w:rsidRPr="00B068BD" w:rsidRDefault="00CE626E" w:rsidP="00CE626E">
            <w:pPr>
              <w:pStyle w:val="Default"/>
              <w:rPr>
                <w:rFonts w:ascii="Verdana" w:hAnsi="Verdana" w:cs="Calibri"/>
                <w:color w:val="211D1E"/>
                <w:sz w:val="22"/>
                <w:szCs w:val="22"/>
              </w:rPr>
            </w:pPr>
            <w:r>
              <w:rPr>
                <w:rFonts w:ascii="Verdana" w:hAnsi="Verdana" w:cs="Calibri"/>
                <w:color w:val="211D1E"/>
                <w:sz w:val="22"/>
                <w:szCs w:val="22"/>
              </w:rPr>
              <w:t>Answer</w:t>
            </w:r>
          </w:p>
        </w:tc>
        <w:tc>
          <w:tcPr>
            <w:tcW w:w="851" w:type="dxa"/>
            <w:tcBorders>
              <w:top w:val="single" w:sz="4" w:space="0" w:color="211D1E"/>
              <w:left w:val="single" w:sz="4" w:space="0" w:color="211D1E"/>
              <w:bottom w:val="single" w:sz="4" w:space="0" w:color="211D1E"/>
              <w:right w:val="single" w:sz="4" w:space="0" w:color="211D1E"/>
            </w:tcBorders>
            <w:shd w:val="clear" w:color="auto" w:fill="BFBFBF" w:themeFill="background1" w:themeFillShade="BF"/>
            <w:vAlign w:val="center"/>
          </w:tcPr>
          <w:p w14:paraId="6AB2E325" w14:textId="77777777" w:rsidR="00CE626E" w:rsidRPr="00B068BD" w:rsidRDefault="00CE626E" w:rsidP="00CE626E">
            <w:pPr>
              <w:pStyle w:val="Default"/>
              <w:rPr>
                <w:rFonts w:ascii="Verdana" w:hAnsi="Verdana" w:cs="Calibri"/>
                <w:color w:val="211D1E"/>
                <w:sz w:val="22"/>
                <w:szCs w:val="22"/>
              </w:rPr>
            </w:pPr>
            <w:r w:rsidRPr="00B068BD">
              <w:rPr>
                <w:rFonts w:ascii="Verdana" w:hAnsi="Verdana" w:cs="Calibri"/>
                <w:color w:val="211D1E"/>
                <w:sz w:val="22"/>
                <w:szCs w:val="22"/>
              </w:rPr>
              <w:t xml:space="preserve">Mark </w:t>
            </w:r>
          </w:p>
        </w:tc>
      </w:tr>
      <w:tr w:rsidR="00CE626E" w:rsidRPr="00B91B38" w14:paraId="55E30290" w14:textId="77777777" w:rsidTr="00CE626E">
        <w:trPr>
          <w:trHeight w:val="4831"/>
        </w:trPr>
        <w:tc>
          <w:tcPr>
            <w:tcW w:w="1242" w:type="dxa"/>
            <w:tcBorders>
              <w:top w:val="single" w:sz="4" w:space="0" w:color="211D1E"/>
              <w:left w:val="single" w:sz="4" w:space="0" w:color="211D1E"/>
              <w:bottom w:val="single" w:sz="4" w:space="0" w:color="211D1E"/>
              <w:right w:val="single" w:sz="4" w:space="0" w:color="211D1E"/>
            </w:tcBorders>
          </w:tcPr>
          <w:p w14:paraId="6655C833" w14:textId="77777777" w:rsidR="00CE626E" w:rsidRPr="00B068BD" w:rsidRDefault="00CE626E" w:rsidP="00CE626E">
            <w:pPr>
              <w:pStyle w:val="Default"/>
              <w:spacing w:before="160"/>
              <w:rPr>
                <w:rFonts w:ascii="Verdana" w:hAnsi="Verdana" w:cs="Calibri"/>
                <w:b/>
                <w:color w:val="auto"/>
                <w:sz w:val="22"/>
                <w:szCs w:val="22"/>
              </w:rPr>
            </w:pPr>
            <w:r>
              <w:rPr>
                <w:rFonts w:ascii="Verdana" w:hAnsi="Verdana" w:cs="Calibri"/>
                <w:b/>
                <w:color w:val="auto"/>
                <w:sz w:val="22"/>
                <w:szCs w:val="22"/>
              </w:rPr>
              <w:t>1</w:t>
            </w:r>
          </w:p>
        </w:tc>
        <w:tc>
          <w:tcPr>
            <w:tcW w:w="7513" w:type="dxa"/>
            <w:tcBorders>
              <w:top w:val="single" w:sz="4" w:space="0" w:color="211D1E"/>
              <w:left w:val="single" w:sz="4" w:space="0" w:color="211D1E"/>
              <w:bottom w:val="single" w:sz="4" w:space="0" w:color="211D1E"/>
              <w:right w:val="single" w:sz="4" w:space="0" w:color="211D1E"/>
            </w:tcBorders>
          </w:tcPr>
          <w:p w14:paraId="03EE2BC4" w14:textId="77777777" w:rsidR="00CE626E" w:rsidRDefault="00CE626E" w:rsidP="00CE626E">
            <w:pPr>
              <w:spacing w:after="0" w:line="240" w:lineRule="atLeast"/>
              <w:jc w:val="center"/>
              <w:rPr>
                <w:rFonts w:ascii="Verdana" w:hAnsi="Verdana"/>
                <w:b/>
                <w:bCs/>
                <w:color w:val="211D1E"/>
              </w:rPr>
            </w:pPr>
            <w:r>
              <w:rPr>
                <w:rFonts w:ascii="Verdana" w:hAnsi="Verdana"/>
                <w:b/>
                <w:bCs/>
                <w:color w:val="211D1E"/>
              </w:rPr>
              <w:t xml:space="preserve">Knowledge 1, Application 2, Analysis 1 </w:t>
            </w:r>
          </w:p>
          <w:p w14:paraId="6311AC82" w14:textId="77777777" w:rsidR="00CE626E" w:rsidRDefault="00CE626E" w:rsidP="00CE626E">
            <w:pPr>
              <w:spacing w:after="0" w:line="240" w:lineRule="atLeast"/>
              <w:ind w:right="431"/>
              <w:rPr>
                <w:rFonts w:ascii="Verdana" w:hAnsi="Verdana"/>
              </w:rPr>
            </w:pPr>
          </w:p>
          <w:p w14:paraId="3813DACF" w14:textId="77777777" w:rsidR="00CE626E" w:rsidRDefault="00CE626E" w:rsidP="00CE626E">
            <w:pPr>
              <w:spacing w:after="0" w:line="240" w:lineRule="atLeast"/>
              <w:ind w:right="431"/>
              <w:rPr>
                <w:rFonts w:ascii="Verdana" w:hAnsi="Verdana"/>
                <w:bCs/>
                <w:color w:val="211D1E"/>
              </w:rPr>
            </w:pPr>
            <w:r>
              <w:rPr>
                <w:rFonts w:ascii="Verdana" w:hAnsi="Verdana"/>
                <w:b/>
                <w:bCs/>
                <w:color w:val="211D1E"/>
              </w:rPr>
              <w:t xml:space="preserve">Knowledge: 1 mark for </w:t>
            </w:r>
            <w:r>
              <w:rPr>
                <w:rFonts w:ascii="Verdana" w:hAnsi="Verdana"/>
                <w:bCs/>
                <w:color w:val="211D1E"/>
              </w:rPr>
              <w:t>understanding of mission statements e.g. a qualitative statement of an organisation’s aims.</w:t>
            </w:r>
          </w:p>
          <w:p w14:paraId="6CBDFA08" w14:textId="77777777" w:rsidR="00CE626E" w:rsidRDefault="00CE626E" w:rsidP="00CE626E">
            <w:pPr>
              <w:spacing w:after="0" w:line="240" w:lineRule="atLeast"/>
              <w:ind w:right="431"/>
              <w:rPr>
                <w:rFonts w:ascii="Verdana" w:hAnsi="Verdana"/>
                <w:bCs/>
                <w:color w:val="211D1E"/>
              </w:rPr>
            </w:pPr>
          </w:p>
          <w:p w14:paraId="4F2E0602" w14:textId="77777777" w:rsidR="00CE626E" w:rsidRDefault="00CE626E" w:rsidP="00CE626E">
            <w:pPr>
              <w:spacing w:after="0" w:line="240" w:lineRule="atLeast"/>
              <w:ind w:right="431"/>
              <w:rPr>
                <w:rFonts w:ascii="Verdana" w:hAnsi="Verdana"/>
                <w:bCs/>
                <w:color w:val="211D1E"/>
              </w:rPr>
            </w:pPr>
            <w:r>
              <w:rPr>
                <w:rFonts w:ascii="Verdana" w:hAnsi="Verdana"/>
                <w:b/>
                <w:bCs/>
                <w:color w:val="211D1E"/>
              </w:rPr>
              <w:t xml:space="preserve">Application: up to 2 marks for </w:t>
            </w:r>
            <w:r>
              <w:rPr>
                <w:rFonts w:ascii="Verdana" w:hAnsi="Verdana"/>
                <w:bCs/>
                <w:color w:val="211D1E"/>
              </w:rPr>
              <w:t>answers in the context of Morrisons, e.g. refers to</w:t>
            </w:r>
          </w:p>
          <w:p w14:paraId="33A9535E" w14:textId="77777777" w:rsidR="00CE626E" w:rsidRDefault="00CE626E" w:rsidP="00CE626E">
            <w:pPr>
              <w:pStyle w:val="ListParagraph"/>
              <w:numPr>
                <w:ilvl w:val="0"/>
                <w:numId w:val="9"/>
              </w:numPr>
              <w:spacing w:after="0" w:line="240" w:lineRule="atLeast"/>
              <w:ind w:right="431"/>
              <w:rPr>
                <w:rFonts w:ascii="Verdana" w:hAnsi="Verdana"/>
                <w:bCs/>
                <w:color w:val="211D1E"/>
              </w:rPr>
            </w:pPr>
            <w:r>
              <w:rPr>
                <w:rFonts w:ascii="Verdana" w:hAnsi="Verdana"/>
                <w:bCs/>
                <w:color w:val="211D1E"/>
              </w:rPr>
              <w:t>Human, ethical and ecological values</w:t>
            </w:r>
          </w:p>
          <w:p w14:paraId="01F0126C" w14:textId="77777777" w:rsidR="00CE626E" w:rsidRDefault="00CE626E" w:rsidP="00CE626E">
            <w:pPr>
              <w:pStyle w:val="ListParagraph"/>
              <w:numPr>
                <w:ilvl w:val="0"/>
                <w:numId w:val="9"/>
              </w:numPr>
              <w:spacing w:after="0" w:line="240" w:lineRule="atLeast"/>
              <w:ind w:right="431"/>
              <w:rPr>
                <w:rFonts w:ascii="Verdana" w:hAnsi="Verdana"/>
                <w:bCs/>
                <w:color w:val="211D1E"/>
              </w:rPr>
            </w:pPr>
            <w:r>
              <w:rPr>
                <w:rFonts w:ascii="Verdana" w:hAnsi="Verdana"/>
                <w:bCs/>
                <w:color w:val="211D1E"/>
              </w:rPr>
              <w:t xml:space="preserve">We are one team </w:t>
            </w:r>
          </w:p>
          <w:p w14:paraId="71FF6178" w14:textId="77777777" w:rsidR="00CE626E" w:rsidRDefault="00CE626E" w:rsidP="00CE626E">
            <w:pPr>
              <w:pStyle w:val="ListParagraph"/>
              <w:numPr>
                <w:ilvl w:val="0"/>
                <w:numId w:val="9"/>
              </w:numPr>
              <w:spacing w:after="0" w:line="240" w:lineRule="atLeast"/>
              <w:ind w:right="431"/>
              <w:rPr>
                <w:rFonts w:ascii="Verdana" w:hAnsi="Verdana"/>
                <w:bCs/>
                <w:color w:val="211D1E"/>
              </w:rPr>
            </w:pPr>
            <w:r>
              <w:rPr>
                <w:rFonts w:ascii="Verdana" w:hAnsi="Verdana"/>
                <w:bCs/>
                <w:color w:val="211D1E"/>
              </w:rPr>
              <w:t>Not just focused on numbers</w:t>
            </w:r>
          </w:p>
          <w:p w14:paraId="6D4B2730" w14:textId="77777777" w:rsidR="00CE626E" w:rsidRDefault="00CE626E" w:rsidP="00CE626E">
            <w:pPr>
              <w:pStyle w:val="ListParagraph"/>
              <w:numPr>
                <w:ilvl w:val="0"/>
                <w:numId w:val="9"/>
              </w:numPr>
              <w:spacing w:after="0" w:line="240" w:lineRule="atLeast"/>
              <w:ind w:right="431"/>
              <w:rPr>
                <w:rFonts w:ascii="Verdana" w:hAnsi="Verdana"/>
                <w:bCs/>
                <w:color w:val="211D1E"/>
              </w:rPr>
            </w:pPr>
            <w:r>
              <w:rPr>
                <w:rFonts w:ascii="Verdana" w:hAnsi="Verdana"/>
                <w:bCs/>
                <w:color w:val="211D1E"/>
              </w:rPr>
              <w:t>Competitors such as Lidl or Aldi</w:t>
            </w:r>
          </w:p>
          <w:p w14:paraId="772B513F" w14:textId="77777777" w:rsidR="00CE626E" w:rsidRPr="003C785D" w:rsidRDefault="00CE626E" w:rsidP="00CE626E">
            <w:pPr>
              <w:spacing w:after="0" w:line="240" w:lineRule="atLeast"/>
              <w:ind w:right="431"/>
              <w:rPr>
                <w:rFonts w:ascii="Verdana" w:hAnsi="Verdana"/>
                <w:bCs/>
                <w:color w:val="211D1E"/>
              </w:rPr>
            </w:pPr>
          </w:p>
          <w:p w14:paraId="53D8E4FB" w14:textId="77777777" w:rsidR="00CE626E" w:rsidRDefault="00CE626E" w:rsidP="00CE626E">
            <w:pPr>
              <w:spacing w:after="0" w:line="240" w:lineRule="atLeast"/>
              <w:ind w:right="431"/>
              <w:rPr>
                <w:rFonts w:ascii="Verdana" w:hAnsi="Verdana"/>
                <w:bCs/>
                <w:color w:val="211D1E"/>
              </w:rPr>
            </w:pPr>
            <w:r>
              <w:rPr>
                <w:rFonts w:ascii="Verdana" w:hAnsi="Verdana"/>
                <w:b/>
                <w:bCs/>
                <w:color w:val="211D1E"/>
              </w:rPr>
              <w:t xml:space="preserve">Analysis: 1 mark for </w:t>
            </w:r>
            <w:r>
              <w:rPr>
                <w:rFonts w:ascii="Verdana" w:hAnsi="Verdana"/>
                <w:bCs/>
                <w:color w:val="211D1E"/>
              </w:rPr>
              <w:t>answers that explain the  benefit of a mission statement to Morrisons  e.g.</w:t>
            </w:r>
          </w:p>
          <w:p w14:paraId="42D55E34" w14:textId="77777777" w:rsidR="00CE626E" w:rsidRPr="00191CB2" w:rsidRDefault="00CE626E" w:rsidP="00CE626E">
            <w:pPr>
              <w:pStyle w:val="ListParagraph"/>
              <w:numPr>
                <w:ilvl w:val="0"/>
                <w:numId w:val="10"/>
              </w:numPr>
              <w:spacing w:after="0" w:line="240" w:lineRule="atLeast"/>
              <w:ind w:right="431"/>
              <w:rPr>
                <w:rFonts w:ascii="Verdana" w:hAnsi="Verdana"/>
                <w:bCs/>
                <w:color w:val="211D1E"/>
              </w:rPr>
            </w:pPr>
            <w:r>
              <w:rPr>
                <w:rFonts w:ascii="Verdana" w:hAnsi="Verdana"/>
                <w:bCs/>
                <w:color w:val="211D1E"/>
              </w:rPr>
              <w:t>Customers may agree with its values and consequently prefer to shop there rather than at competitors</w:t>
            </w:r>
          </w:p>
          <w:p w14:paraId="0E8BD5BF" w14:textId="77777777" w:rsidR="00CE626E" w:rsidRPr="00B060FC" w:rsidRDefault="00CE626E" w:rsidP="00CE626E">
            <w:pPr>
              <w:pStyle w:val="ListParagraph"/>
              <w:numPr>
                <w:ilvl w:val="0"/>
                <w:numId w:val="8"/>
              </w:numPr>
              <w:spacing w:after="0" w:line="240" w:lineRule="atLeast"/>
              <w:ind w:right="431"/>
              <w:rPr>
                <w:rFonts w:ascii="Verdana" w:hAnsi="Verdana"/>
                <w:bCs/>
                <w:color w:val="211D1E"/>
              </w:rPr>
            </w:pPr>
            <w:r>
              <w:rPr>
                <w:rFonts w:ascii="Verdana" w:hAnsi="Verdana"/>
                <w:bCs/>
                <w:color w:val="211D1E"/>
              </w:rPr>
              <w:t>Motivational and s</w:t>
            </w:r>
            <w:r w:rsidRPr="00B060FC">
              <w:rPr>
                <w:rFonts w:ascii="Verdana" w:hAnsi="Verdana"/>
                <w:bCs/>
                <w:color w:val="211D1E"/>
              </w:rPr>
              <w:t>ense of direction</w:t>
            </w:r>
            <w:r>
              <w:rPr>
                <w:rFonts w:ascii="Verdana" w:hAnsi="Verdana"/>
                <w:bCs/>
                <w:color w:val="211D1E"/>
              </w:rPr>
              <w:t xml:space="preserve"> for employees.</w:t>
            </w:r>
          </w:p>
          <w:p w14:paraId="2593C699" w14:textId="77777777" w:rsidR="00CE626E" w:rsidRPr="00191CB2" w:rsidRDefault="00CE626E" w:rsidP="00CE626E">
            <w:pPr>
              <w:spacing w:after="0" w:line="240" w:lineRule="atLeast"/>
              <w:ind w:left="360" w:right="431"/>
              <w:rPr>
                <w:rFonts w:ascii="Verdana" w:hAnsi="Verdana"/>
                <w:bCs/>
                <w:color w:val="211D1E"/>
              </w:rPr>
            </w:pPr>
          </w:p>
        </w:tc>
        <w:tc>
          <w:tcPr>
            <w:tcW w:w="851" w:type="dxa"/>
            <w:tcBorders>
              <w:top w:val="single" w:sz="4" w:space="0" w:color="211D1E"/>
              <w:left w:val="single" w:sz="4" w:space="0" w:color="211D1E"/>
              <w:bottom w:val="single" w:sz="4" w:space="0" w:color="211D1E"/>
              <w:right w:val="single" w:sz="4" w:space="0" w:color="211D1E"/>
            </w:tcBorders>
            <w:vAlign w:val="center"/>
          </w:tcPr>
          <w:p w14:paraId="313696A0" w14:textId="77777777" w:rsidR="00CE626E" w:rsidRPr="003C14A1" w:rsidRDefault="00CE626E" w:rsidP="00CE626E">
            <w:pPr>
              <w:pStyle w:val="Default"/>
              <w:rPr>
                <w:rFonts w:ascii="Verdana" w:hAnsi="Verdana" w:cs="Calibri"/>
                <w:color w:val="211D1E"/>
                <w:sz w:val="22"/>
                <w:szCs w:val="22"/>
              </w:rPr>
            </w:pPr>
          </w:p>
          <w:p w14:paraId="163D5710" w14:textId="77777777" w:rsidR="00CE626E" w:rsidRPr="003C14A1" w:rsidRDefault="00CE626E" w:rsidP="00CE626E"/>
          <w:p w14:paraId="4A41B99C" w14:textId="77777777" w:rsidR="00CE626E" w:rsidRPr="003C14A1" w:rsidRDefault="00CE626E" w:rsidP="00CE626E"/>
          <w:p w14:paraId="567A635F" w14:textId="77777777" w:rsidR="00CE626E" w:rsidRPr="003C14A1" w:rsidRDefault="00CE626E" w:rsidP="00CE626E"/>
          <w:p w14:paraId="30431B37" w14:textId="77777777" w:rsidR="00CE626E" w:rsidRPr="003C14A1" w:rsidRDefault="00CE626E" w:rsidP="00CE626E">
            <w:pPr>
              <w:rPr>
                <w:rFonts w:ascii="Verdana" w:hAnsi="Verdana"/>
              </w:rPr>
            </w:pPr>
          </w:p>
          <w:p w14:paraId="1977CF72" w14:textId="77777777" w:rsidR="00CE626E" w:rsidRDefault="00CE626E" w:rsidP="00CE626E">
            <w:pPr>
              <w:rPr>
                <w:rFonts w:ascii="Verdana" w:hAnsi="Verdana"/>
              </w:rPr>
            </w:pPr>
          </w:p>
          <w:p w14:paraId="245E0050" w14:textId="77777777" w:rsidR="00CE626E" w:rsidRPr="003C14A1" w:rsidRDefault="00CE626E" w:rsidP="00CE626E">
            <w:pPr>
              <w:rPr>
                <w:rFonts w:ascii="Verdana" w:hAnsi="Verdana"/>
              </w:rPr>
            </w:pPr>
          </w:p>
          <w:p w14:paraId="453EC3DF" w14:textId="77777777" w:rsidR="00CE626E" w:rsidRDefault="00CE626E" w:rsidP="00CE626E">
            <w:pPr>
              <w:rPr>
                <w:rFonts w:ascii="Verdana" w:hAnsi="Verdana"/>
                <w:b/>
              </w:rPr>
            </w:pPr>
          </w:p>
          <w:p w14:paraId="084FC305" w14:textId="1C8CA467" w:rsidR="00CE626E" w:rsidRDefault="00CE626E" w:rsidP="00CE626E">
            <w:pPr>
              <w:rPr>
                <w:rFonts w:ascii="Verdana" w:hAnsi="Verdana"/>
                <w:b/>
              </w:rPr>
            </w:pPr>
          </w:p>
          <w:p w14:paraId="5A8BC308" w14:textId="77777777" w:rsidR="00CE626E" w:rsidRDefault="00CE626E" w:rsidP="00CE626E">
            <w:pPr>
              <w:rPr>
                <w:rFonts w:ascii="Verdana" w:hAnsi="Verdana"/>
                <w:b/>
              </w:rPr>
            </w:pPr>
          </w:p>
          <w:p w14:paraId="76F9529B" w14:textId="77777777" w:rsidR="00CE626E" w:rsidRPr="00B91B38" w:rsidRDefault="00CE626E" w:rsidP="00CE626E">
            <w:pPr>
              <w:rPr>
                <w:rFonts w:ascii="Verdana" w:hAnsi="Verdana"/>
                <w:b/>
              </w:rPr>
            </w:pPr>
            <w:r>
              <w:rPr>
                <w:rFonts w:ascii="Verdana" w:hAnsi="Verdana"/>
                <w:b/>
              </w:rPr>
              <w:t>(4)</w:t>
            </w:r>
          </w:p>
        </w:tc>
      </w:tr>
    </w:tbl>
    <w:p w14:paraId="00E62AB4" w14:textId="77777777" w:rsidR="00CE626E" w:rsidRDefault="00CE626E" w:rsidP="00CE626E"/>
    <w:p w14:paraId="1900ED72" w14:textId="77777777" w:rsidR="00CE626E" w:rsidRDefault="00CE626E" w:rsidP="00CE626E"/>
    <w:p w14:paraId="53A1EEC7" w14:textId="77777777" w:rsidR="00CE626E" w:rsidRDefault="00CE626E" w:rsidP="00CE626E"/>
    <w:p w14:paraId="06522EC3" w14:textId="77777777" w:rsidR="00CE626E" w:rsidRDefault="00CE626E" w:rsidP="00CE626E"/>
    <w:p w14:paraId="19D89E32" w14:textId="77777777" w:rsidR="00CE626E" w:rsidRDefault="00CE626E" w:rsidP="00CE626E"/>
    <w:p w14:paraId="2639B636" w14:textId="77777777" w:rsidR="00CE626E" w:rsidRDefault="00CE626E" w:rsidP="00CE626E"/>
    <w:p w14:paraId="0F100B7D" w14:textId="77777777" w:rsidR="00CE626E" w:rsidRDefault="00CE626E" w:rsidP="00CE626E"/>
    <w:p w14:paraId="75957407" w14:textId="77777777" w:rsidR="00CE626E" w:rsidRDefault="00CE626E" w:rsidP="00CE626E"/>
    <w:p w14:paraId="01912489" w14:textId="77777777" w:rsidR="00CE626E" w:rsidRDefault="00CE626E" w:rsidP="00CE626E"/>
    <w:p w14:paraId="38335624" w14:textId="77777777" w:rsidR="00CE626E" w:rsidRDefault="00CE626E" w:rsidP="00CE626E">
      <w:r>
        <w:br w:type="page"/>
      </w:r>
    </w:p>
    <w:tbl>
      <w:tblPr>
        <w:tblpPr w:leftFromText="180" w:rightFromText="180" w:vertAnchor="page" w:horzAnchor="margin" w:tblpXSpec="center" w:tblpY="721"/>
        <w:tblW w:w="9898" w:type="dxa"/>
        <w:tblBorders>
          <w:top w:val="single" w:sz="4" w:space="0" w:color="201D1E"/>
          <w:left w:val="single" w:sz="4" w:space="0" w:color="201D1E"/>
          <w:bottom w:val="single" w:sz="4" w:space="0" w:color="201D1E"/>
          <w:right w:val="single" w:sz="4" w:space="0" w:color="201D1E"/>
          <w:insideH w:val="single" w:sz="4" w:space="0" w:color="201D1E"/>
          <w:insideV w:val="single" w:sz="4" w:space="0" w:color="201D1E"/>
        </w:tblBorders>
        <w:tblLayout w:type="fixed"/>
        <w:tblCellMar>
          <w:left w:w="0" w:type="dxa"/>
          <w:right w:w="0" w:type="dxa"/>
        </w:tblCellMar>
        <w:tblLook w:val="01E0" w:firstRow="1" w:lastRow="1" w:firstColumn="1" w:lastColumn="1" w:noHBand="0" w:noVBand="0"/>
      </w:tblPr>
      <w:tblGrid>
        <w:gridCol w:w="1272"/>
        <w:gridCol w:w="7777"/>
        <w:gridCol w:w="849"/>
      </w:tblGrid>
      <w:tr w:rsidR="00CE626E" w14:paraId="605D0959" w14:textId="77777777" w:rsidTr="00326E4E">
        <w:trPr>
          <w:trHeight w:val="535"/>
        </w:trPr>
        <w:tc>
          <w:tcPr>
            <w:tcW w:w="1272" w:type="dxa"/>
            <w:shd w:val="clear" w:color="auto" w:fill="BFBFBF" w:themeFill="background1" w:themeFillShade="BF"/>
          </w:tcPr>
          <w:p w14:paraId="247C69AA" w14:textId="77777777" w:rsidR="00CE626E" w:rsidRDefault="00CE626E" w:rsidP="00326E4E">
            <w:pPr>
              <w:pStyle w:val="TableParagraph"/>
              <w:spacing w:before="3" w:line="266" w:lineRule="exact"/>
              <w:ind w:left="108" w:right="156"/>
            </w:pPr>
            <w:r>
              <w:lastRenderedPageBreak/>
              <w:t>Question Number</w:t>
            </w:r>
          </w:p>
        </w:tc>
        <w:tc>
          <w:tcPr>
            <w:tcW w:w="7777" w:type="dxa"/>
            <w:shd w:val="clear" w:color="auto" w:fill="BFBFBF" w:themeFill="background1" w:themeFillShade="BF"/>
          </w:tcPr>
          <w:p w14:paraId="53EE61BE" w14:textId="77777777" w:rsidR="00CE626E" w:rsidRDefault="00CE626E" w:rsidP="00326E4E">
            <w:pPr>
              <w:pStyle w:val="TableParagraph"/>
              <w:spacing w:before="126"/>
              <w:ind w:left="108"/>
            </w:pPr>
            <w:r>
              <w:rPr>
                <w:color w:val="201D1E"/>
              </w:rPr>
              <w:t>Indicative content</w:t>
            </w:r>
          </w:p>
        </w:tc>
        <w:tc>
          <w:tcPr>
            <w:tcW w:w="849" w:type="dxa"/>
            <w:shd w:val="clear" w:color="auto" w:fill="BFBFBF" w:themeFill="background1" w:themeFillShade="BF"/>
          </w:tcPr>
          <w:p w14:paraId="7B289EB2" w14:textId="77777777" w:rsidR="00CE626E" w:rsidRDefault="00CE626E" w:rsidP="00326E4E">
            <w:pPr>
              <w:pStyle w:val="TableParagraph"/>
              <w:spacing w:before="126"/>
              <w:ind w:left="108"/>
            </w:pPr>
            <w:r>
              <w:rPr>
                <w:color w:val="201D1E"/>
              </w:rPr>
              <w:t>Mark</w:t>
            </w:r>
          </w:p>
        </w:tc>
      </w:tr>
      <w:tr w:rsidR="00CE626E" w14:paraId="46391398" w14:textId="77777777" w:rsidTr="00326E4E">
        <w:trPr>
          <w:trHeight w:val="12961"/>
        </w:trPr>
        <w:tc>
          <w:tcPr>
            <w:tcW w:w="1272" w:type="dxa"/>
          </w:tcPr>
          <w:p w14:paraId="6C3C90BE" w14:textId="77777777" w:rsidR="00CE626E" w:rsidRDefault="00CE626E" w:rsidP="00326E4E">
            <w:pPr>
              <w:pStyle w:val="TableParagraph"/>
              <w:spacing w:before="5"/>
              <w:rPr>
                <w:sz w:val="21"/>
              </w:rPr>
            </w:pPr>
          </w:p>
          <w:p w14:paraId="6A89BB10" w14:textId="77777777" w:rsidR="00CE626E" w:rsidRDefault="00CE626E" w:rsidP="00326E4E">
            <w:pPr>
              <w:pStyle w:val="TableParagraph"/>
              <w:ind w:left="108"/>
              <w:rPr>
                <w:b/>
              </w:rPr>
            </w:pPr>
            <w:r>
              <w:rPr>
                <w:b/>
              </w:rPr>
              <w:t>2</w:t>
            </w:r>
          </w:p>
        </w:tc>
        <w:tc>
          <w:tcPr>
            <w:tcW w:w="7777" w:type="dxa"/>
          </w:tcPr>
          <w:p w14:paraId="40DA4056" w14:textId="77777777" w:rsidR="00CE626E" w:rsidRDefault="00CE626E" w:rsidP="00326E4E">
            <w:pPr>
              <w:pStyle w:val="TableParagraph"/>
              <w:spacing w:line="262" w:lineRule="exact"/>
              <w:ind w:left="648"/>
              <w:rPr>
                <w:b/>
              </w:rPr>
            </w:pPr>
            <w:r>
              <w:rPr>
                <w:b/>
              </w:rPr>
              <w:t>Knowledge 4, Application 4, Analysis 6, Evaluation 6</w:t>
            </w:r>
          </w:p>
          <w:p w14:paraId="0FE2EFD2" w14:textId="77777777" w:rsidR="00CE626E" w:rsidRDefault="00CE626E" w:rsidP="00326E4E">
            <w:pPr>
              <w:pStyle w:val="TableParagraph"/>
              <w:spacing w:before="8"/>
              <w:rPr>
                <w:sz w:val="19"/>
              </w:rPr>
            </w:pPr>
          </w:p>
          <w:p w14:paraId="10171732" w14:textId="77777777" w:rsidR="00CE626E" w:rsidRDefault="00CE626E" w:rsidP="00326E4E">
            <w:pPr>
              <w:pStyle w:val="TableParagraph"/>
              <w:spacing w:line="276" w:lineRule="auto"/>
              <w:ind w:left="108" w:right="1257"/>
              <w:rPr>
                <w:b/>
              </w:rPr>
            </w:pPr>
            <w:r>
              <w:rPr>
                <w:b/>
              </w:rPr>
              <w:t>Arguments for producing own label ready meals for supermarkets</w:t>
            </w:r>
          </w:p>
          <w:p w14:paraId="60E18CB7" w14:textId="77777777" w:rsidR="00CE626E" w:rsidRDefault="00CE626E" w:rsidP="00CE626E">
            <w:pPr>
              <w:pStyle w:val="TableParagraph"/>
              <w:numPr>
                <w:ilvl w:val="0"/>
                <w:numId w:val="11"/>
              </w:numPr>
              <w:tabs>
                <w:tab w:val="left" w:pos="828"/>
                <w:tab w:val="left" w:pos="829"/>
              </w:tabs>
              <w:spacing w:before="201" w:line="273" w:lineRule="auto"/>
              <w:ind w:right="100"/>
            </w:pPr>
            <w:r>
              <w:t>The ready meals market grew by 2% in volume and value in 2016</w:t>
            </w:r>
          </w:p>
          <w:p w14:paraId="47E0211F" w14:textId="77777777" w:rsidR="00CE626E" w:rsidRDefault="00CE626E" w:rsidP="00CE626E">
            <w:pPr>
              <w:pStyle w:val="TableParagraph"/>
              <w:numPr>
                <w:ilvl w:val="0"/>
                <w:numId w:val="11"/>
              </w:numPr>
              <w:tabs>
                <w:tab w:val="left" w:pos="828"/>
                <w:tab w:val="left" w:pos="829"/>
              </w:tabs>
              <w:spacing w:before="2" w:line="273" w:lineRule="auto"/>
              <w:ind w:right="855"/>
            </w:pPr>
            <w:r>
              <w:t>Supermarket ‘own label’ ready meals have a combined market share of 68%, with Tesco owning</w:t>
            </w:r>
            <w:r>
              <w:rPr>
                <w:spacing w:val="-10"/>
              </w:rPr>
              <w:t xml:space="preserve"> </w:t>
            </w:r>
            <w:r>
              <w:t>18%</w:t>
            </w:r>
          </w:p>
          <w:p w14:paraId="7C637787" w14:textId="77777777" w:rsidR="00CE626E" w:rsidRDefault="00CE626E" w:rsidP="00CE626E">
            <w:pPr>
              <w:pStyle w:val="TableParagraph"/>
              <w:numPr>
                <w:ilvl w:val="0"/>
                <w:numId w:val="11"/>
              </w:numPr>
              <w:tabs>
                <w:tab w:val="left" w:pos="828"/>
                <w:tab w:val="left" w:pos="829"/>
              </w:tabs>
              <w:spacing w:before="3"/>
              <w:ind w:hanging="361"/>
            </w:pPr>
            <w:r>
              <w:t>Mumtaz already supplies Tesco, Asda and</w:t>
            </w:r>
            <w:r>
              <w:rPr>
                <w:spacing w:val="-10"/>
              </w:rPr>
              <w:t xml:space="preserve"> </w:t>
            </w:r>
            <w:r>
              <w:t>Morrisons</w:t>
            </w:r>
          </w:p>
          <w:p w14:paraId="0EED6B02" w14:textId="77777777" w:rsidR="00CE626E" w:rsidRDefault="00CE626E" w:rsidP="00CE626E">
            <w:pPr>
              <w:pStyle w:val="TableParagraph"/>
              <w:numPr>
                <w:ilvl w:val="0"/>
                <w:numId w:val="11"/>
              </w:numPr>
              <w:tabs>
                <w:tab w:val="left" w:pos="828"/>
                <w:tab w:val="left" w:pos="829"/>
              </w:tabs>
              <w:spacing w:before="37" w:line="273" w:lineRule="auto"/>
              <w:ind w:right="628"/>
            </w:pPr>
            <w:r>
              <w:t>‘own label’ ready meals can be used by supermarkets to meet a wide range of customer needs and specific</w:t>
            </w:r>
            <w:r>
              <w:rPr>
                <w:spacing w:val="-15"/>
              </w:rPr>
              <w:t xml:space="preserve"> </w:t>
            </w:r>
            <w:r>
              <w:t>tastes</w:t>
            </w:r>
          </w:p>
          <w:p w14:paraId="452EF408" w14:textId="77777777" w:rsidR="00CE626E" w:rsidRDefault="00CE626E" w:rsidP="00CE626E">
            <w:pPr>
              <w:pStyle w:val="TableParagraph"/>
              <w:numPr>
                <w:ilvl w:val="0"/>
                <w:numId w:val="11"/>
              </w:numPr>
              <w:tabs>
                <w:tab w:val="left" w:pos="828"/>
                <w:tab w:val="left" w:pos="829"/>
              </w:tabs>
              <w:spacing w:before="3" w:line="276" w:lineRule="auto"/>
              <w:ind w:right="656"/>
            </w:pPr>
            <w:r>
              <w:t>Mumtaz has increased its production capacity enabling</w:t>
            </w:r>
            <w:r>
              <w:rPr>
                <w:spacing w:val="-17"/>
              </w:rPr>
              <w:t xml:space="preserve"> </w:t>
            </w:r>
            <w:r>
              <w:t>it to meet the potential increased demand from supermarkets</w:t>
            </w:r>
          </w:p>
          <w:p w14:paraId="3554BB9C" w14:textId="77777777" w:rsidR="00CE626E" w:rsidRDefault="00CE626E" w:rsidP="00CE626E">
            <w:pPr>
              <w:pStyle w:val="TableParagraph"/>
              <w:numPr>
                <w:ilvl w:val="0"/>
                <w:numId w:val="11"/>
              </w:numPr>
              <w:tabs>
                <w:tab w:val="left" w:pos="828"/>
                <w:tab w:val="left" w:pos="829"/>
              </w:tabs>
              <w:spacing w:line="273" w:lineRule="auto"/>
              <w:ind w:right="921"/>
            </w:pPr>
            <w:r>
              <w:t>Increased demand may enable the business to</w:t>
            </w:r>
            <w:r>
              <w:rPr>
                <w:spacing w:val="-11"/>
              </w:rPr>
              <w:t xml:space="preserve"> </w:t>
            </w:r>
            <w:r>
              <w:t>benefit from economies of scale and higher levels of capacity utilisation, resulting in lower unit</w:t>
            </w:r>
            <w:r>
              <w:rPr>
                <w:spacing w:val="-8"/>
              </w:rPr>
              <w:t xml:space="preserve"> </w:t>
            </w:r>
            <w:r>
              <w:t>costs</w:t>
            </w:r>
          </w:p>
          <w:p w14:paraId="0EAE2E4F" w14:textId="77777777" w:rsidR="00CE626E" w:rsidRDefault="00CE626E" w:rsidP="00CE626E">
            <w:pPr>
              <w:pStyle w:val="TableParagraph"/>
              <w:numPr>
                <w:ilvl w:val="0"/>
                <w:numId w:val="11"/>
              </w:numPr>
              <w:tabs>
                <w:tab w:val="left" w:pos="828"/>
                <w:tab w:val="left" w:pos="829"/>
              </w:tabs>
              <w:spacing w:before="4" w:line="273" w:lineRule="auto"/>
              <w:ind w:right="855"/>
            </w:pPr>
            <w:r>
              <w:t>Higher sales and lower unit costs may result in greater profitability and further expansion for Mumtaz</w:t>
            </w:r>
            <w:r>
              <w:rPr>
                <w:spacing w:val="-11"/>
              </w:rPr>
              <w:t xml:space="preserve"> </w:t>
            </w:r>
            <w:r>
              <w:t>Foods</w:t>
            </w:r>
          </w:p>
          <w:p w14:paraId="4B334FFC" w14:textId="77777777" w:rsidR="00CE626E" w:rsidRDefault="00CE626E" w:rsidP="00326E4E">
            <w:pPr>
              <w:pStyle w:val="TableParagraph"/>
              <w:spacing w:before="204" w:line="276" w:lineRule="auto"/>
              <w:ind w:left="108" w:right="463"/>
              <w:rPr>
                <w:b/>
              </w:rPr>
            </w:pPr>
            <w:r>
              <w:rPr>
                <w:b/>
              </w:rPr>
              <w:t>Arguments for selling more Mumtaz premium brand name products</w:t>
            </w:r>
          </w:p>
          <w:p w14:paraId="0A9054BC" w14:textId="77777777" w:rsidR="00CE626E" w:rsidRDefault="00CE626E" w:rsidP="00CE626E">
            <w:pPr>
              <w:pStyle w:val="TableParagraph"/>
              <w:numPr>
                <w:ilvl w:val="0"/>
                <w:numId w:val="11"/>
              </w:numPr>
              <w:tabs>
                <w:tab w:val="left" w:pos="828"/>
                <w:tab w:val="left" w:pos="829"/>
              </w:tabs>
              <w:spacing w:before="199" w:line="273" w:lineRule="auto"/>
              <w:ind w:right="765"/>
            </w:pPr>
            <w:r>
              <w:t>There is a trend amongst consumers to prefer premium ready</w:t>
            </w:r>
            <w:r>
              <w:rPr>
                <w:spacing w:val="-3"/>
              </w:rPr>
              <w:t xml:space="preserve"> </w:t>
            </w:r>
            <w:r>
              <w:t>meals</w:t>
            </w:r>
          </w:p>
          <w:p w14:paraId="5E0F7022" w14:textId="77777777" w:rsidR="00CE626E" w:rsidRDefault="00CE626E" w:rsidP="00CE626E">
            <w:pPr>
              <w:pStyle w:val="TableParagraph"/>
              <w:numPr>
                <w:ilvl w:val="0"/>
                <w:numId w:val="11"/>
              </w:numPr>
              <w:tabs>
                <w:tab w:val="left" w:pos="828"/>
                <w:tab w:val="left" w:pos="829"/>
              </w:tabs>
              <w:spacing w:before="5" w:line="273" w:lineRule="auto"/>
              <w:ind w:right="111"/>
            </w:pPr>
            <w:r>
              <w:t>It is predicted that future success may be for innovative new products – Mumtaz’s successful Halal baby food range proves that it is capable of developing successful new</w:t>
            </w:r>
            <w:r>
              <w:rPr>
                <w:spacing w:val="-6"/>
              </w:rPr>
              <w:t xml:space="preserve"> </w:t>
            </w:r>
            <w:r>
              <w:t>products</w:t>
            </w:r>
          </w:p>
          <w:p w14:paraId="114DBF44" w14:textId="77777777" w:rsidR="00CE626E" w:rsidRDefault="00CE626E" w:rsidP="00CE626E">
            <w:pPr>
              <w:pStyle w:val="TableParagraph"/>
              <w:numPr>
                <w:ilvl w:val="0"/>
                <w:numId w:val="11"/>
              </w:numPr>
              <w:tabs>
                <w:tab w:val="left" w:pos="828"/>
                <w:tab w:val="left" w:pos="829"/>
              </w:tabs>
              <w:spacing w:before="4" w:line="273" w:lineRule="auto"/>
              <w:ind w:right="551"/>
            </w:pPr>
            <w:r>
              <w:t>Ansoff would classify this strategy as market</w:t>
            </w:r>
            <w:r>
              <w:rPr>
                <w:spacing w:val="-18"/>
              </w:rPr>
              <w:t xml:space="preserve"> </w:t>
            </w:r>
            <w:r>
              <w:t>penetration, which carries the least</w:t>
            </w:r>
            <w:r>
              <w:rPr>
                <w:spacing w:val="-3"/>
              </w:rPr>
              <w:t xml:space="preserve"> </w:t>
            </w:r>
            <w:r>
              <w:t>risk</w:t>
            </w:r>
          </w:p>
          <w:p w14:paraId="6EAF514B" w14:textId="77777777" w:rsidR="00CE626E" w:rsidRDefault="00CE626E" w:rsidP="00CE626E">
            <w:pPr>
              <w:pStyle w:val="TableParagraph"/>
              <w:numPr>
                <w:ilvl w:val="0"/>
                <w:numId w:val="11"/>
              </w:numPr>
              <w:tabs>
                <w:tab w:val="left" w:pos="828"/>
                <w:tab w:val="left" w:pos="829"/>
              </w:tabs>
              <w:spacing w:before="3" w:line="276" w:lineRule="auto"/>
              <w:ind w:right="106"/>
            </w:pPr>
            <w:r>
              <w:t>Porter would classify this strategy as ‘differentiation’ enabling Mumtaz to gain a competitive advantage through a USP of quality and</w:t>
            </w:r>
            <w:r>
              <w:rPr>
                <w:spacing w:val="-3"/>
              </w:rPr>
              <w:t xml:space="preserve"> </w:t>
            </w:r>
            <w:r>
              <w:t>authenticity</w:t>
            </w:r>
          </w:p>
          <w:p w14:paraId="56CE8FEC" w14:textId="77777777" w:rsidR="00CE626E" w:rsidRDefault="00CE626E" w:rsidP="00CE626E">
            <w:pPr>
              <w:pStyle w:val="TableParagraph"/>
              <w:numPr>
                <w:ilvl w:val="0"/>
                <w:numId w:val="11"/>
              </w:numPr>
              <w:tabs>
                <w:tab w:val="left" w:pos="828"/>
                <w:tab w:val="left" w:pos="829"/>
              </w:tabs>
              <w:spacing w:line="276" w:lineRule="auto"/>
              <w:ind w:right="105"/>
            </w:pPr>
            <w:r>
              <w:t>‘Own label’ relies heavily on price discounts and promotional offers – focusing on selling Mumtaz products would avoid this and enable the business to charge higher</w:t>
            </w:r>
            <w:r>
              <w:rPr>
                <w:spacing w:val="-7"/>
              </w:rPr>
              <w:t xml:space="preserve"> </w:t>
            </w:r>
            <w:r>
              <w:t>prices</w:t>
            </w:r>
          </w:p>
          <w:p w14:paraId="4D743D4E" w14:textId="77777777" w:rsidR="00CE626E" w:rsidRDefault="00CE626E" w:rsidP="00326E4E">
            <w:pPr>
              <w:pStyle w:val="TableParagraph"/>
              <w:rPr>
                <w:sz w:val="26"/>
              </w:rPr>
            </w:pPr>
          </w:p>
          <w:p w14:paraId="7F60BABD" w14:textId="77777777" w:rsidR="00CE626E" w:rsidRDefault="00CE626E" w:rsidP="00326E4E">
            <w:pPr>
              <w:pStyle w:val="TableParagraph"/>
              <w:spacing w:before="11"/>
              <w:rPr>
                <w:sz w:val="31"/>
              </w:rPr>
            </w:pPr>
          </w:p>
          <w:p w14:paraId="3CE8E9F5" w14:textId="77777777" w:rsidR="00CE626E" w:rsidRDefault="00CE626E" w:rsidP="00326E4E">
            <w:pPr>
              <w:pStyle w:val="TableParagraph"/>
              <w:ind w:left="108"/>
              <w:rPr>
                <w:i/>
              </w:rPr>
            </w:pPr>
            <w:r>
              <w:rPr>
                <w:i/>
              </w:rPr>
              <w:t>Possible recommendations</w:t>
            </w:r>
          </w:p>
          <w:p w14:paraId="4E643B3D" w14:textId="77777777" w:rsidR="00CE626E" w:rsidRDefault="00CE626E" w:rsidP="00CE626E">
            <w:pPr>
              <w:pStyle w:val="TableParagraph"/>
              <w:numPr>
                <w:ilvl w:val="0"/>
                <w:numId w:val="11"/>
              </w:numPr>
              <w:tabs>
                <w:tab w:val="left" w:pos="895"/>
                <w:tab w:val="left" w:pos="896"/>
              </w:tabs>
              <w:spacing w:before="40" w:line="273" w:lineRule="auto"/>
              <w:ind w:left="895" w:right="788"/>
            </w:pPr>
            <w:r>
              <w:t>Mumtaz should choose the option of supermarket ‘own label’ ready meals because supermarkets own 68% of the market. Supermarkets have a greater</w:t>
            </w:r>
            <w:r>
              <w:rPr>
                <w:spacing w:val="-11"/>
              </w:rPr>
              <w:t xml:space="preserve"> </w:t>
            </w:r>
            <w:r>
              <w:t>distribution</w:t>
            </w:r>
          </w:p>
        </w:tc>
        <w:tc>
          <w:tcPr>
            <w:tcW w:w="849" w:type="dxa"/>
          </w:tcPr>
          <w:p w14:paraId="764167D3" w14:textId="77777777" w:rsidR="00CE626E" w:rsidRDefault="00CE626E" w:rsidP="00326E4E">
            <w:pPr>
              <w:pStyle w:val="TableParagraph"/>
              <w:rPr>
                <w:rFonts w:ascii="Times New Roman"/>
              </w:rPr>
            </w:pPr>
          </w:p>
        </w:tc>
      </w:tr>
    </w:tbl>
    <w:p w14:paraId="16B1977F" w14:textId="77777777" w:rsidR="00CE626E" w:rsidRDefault="00CE626E" w:rsidP="00CE626E"/>
    <w:p w14:paraId="360D9E7B" w14:textId="77777777" w:rsidR="00CE626E" w:rsidRDefault="00CE626E" w:rsidP="00CE626E"/>
    <w:tbl>
      <w:tblPr>
        <w:tblpPr w:leftFromText="180" w:rightFromText="180" w:vertAnchor="page" w:horzAnchor="margin" w:tblpXSpec="center" w:tblpY="731"/>
        <w:tblW w:w="9898" w:type="dxa"/>
        <w:tblBorders>
          <w:top w:val="single" w:sz="4" w:space="0" w:color="201D1E"/>
          <w:left w:val="single" w:sz="4" w:space="0" w:color="201D1E"/>
          <w:bottom w:val="single" w:sz="4" w:space="0" w:color="201D1E"/>
          <w:right w:val="single" w:sz="4" w:space="0" w:color="201D1E"/>
          <w:insideH w:val="single" w:sz="4" w:space="0" w:color="201D1E"/>
          <w:insideV w:val="single" w:sz="4" w:space="0" w:color="201D1E"/>
        </w:tblBorders>
        <w:tblLayout w:type="fixed"/>
        <w:tblCellMar>
          <w:left w:w="0" w:type="dxa"/>
          <w:right w:w="0" w:type="dxa"/>
        </w:tblCellMar>
        <w:tblLook w:val="01E0" w:firstRow="1" w:lastRow="1" w:firstColumn="1" w:lastColumn="1" w:noHBand="0" w:noVBand="0"/>
      </w:tblPr>
      <w:tblGrid>
        <w:gridCol w:w="1272"/>
        <w:gridCol w:w="7777"/>
        <w:gridCol w:w="849"/>
      </w:tblGrid>
      <w:tr w:rsidR="00CE626E" w14:paraId="52271C82" w14:textId="77777777" w:rsidTr="00326E4E">
        <w:trPr>
          <w:trHeight w:val="12690"/>
        </w:trPr>
        <w:tc>
          <w:tcPr>
            <w:tcW w:w="1272" w:type="dxa"/>
          </w:tcPr>
          <w:p w14:paraId="4385A921" w14:textId="77777777" w:rsidR="00CE626E" w:rsidRDefault="00CE626E" w:rsidP="00326E4E">
            <w:pPr>
              <w:pStyle w:val="TableParagraph"/>
              <w:rPr>
                <w:rFonts w:ascii="Times New Roman"/>
              </w:rPr>
            </w:pPr>
          </w:p>
        </w:tc>
        <w:tc>
          <w:tcPr>
            <w:tcW w:w="7777" w:type="dxa"/>
          </w:tcPr>
          <w:p w14:paraId="79B625A9" w14:textId="77777777" w:rsidR="00CE626E" w:rsidRDefault="00CE626E" w:rsidP="00326E4E">
            <w:pPr>
              <w:pStyle w:val="TableParagraph"/>
              <w:spacing w:line="276" w:lineRule="auto"/>
              <w:ind w:left="895" w:right="775"/>
            </w:pPr>
            <w:r>
              <w:t>which might therefore enable Mumtaz to sell more of their products and enable them to achieve the aim of becoming the UK’s market leader in Asian ready meals</w:t>
            </w:r>
          </w:p>
          <w:p w14:paraId="5BCFB9F5" w14:textId="77777777" w:rsidR="00CE626E" w:rsidRDefault="00CE626E" w:rsidP="00CE626E">
            <w:pPr>
              <w:pStyle w:val="TableParagraph"/>
              <w:numPr>
                <w:ilvl w:val="0"/>
                <w:numId w:val="12"/>
              </w:numPr>
              <w:tabs>
                <w:tab w:val="left" w:pos="895"/>
                <w:tab w:val="left" w:pos="896"/>
              </w:tabs>
              <w:spacing w:line="276" w:lineRule="auto"/>
              <w:ind w:right="663"/>
            </w:pPr>
            <w:r>
              <w:t>Mumtaz should choose to sell more Mumtaz premium brand name products because it is an established</w:t>
            </w:r>
            <w:r>
              <w:rPr>
                <w:spacing w:val="-24"/>
              </w:rPr>
              <w:t xml:space="preserve"> </w:t>
            </w:r>
            <w:r>
              <w:t>brand that is already growing rapidly in UK supermarkets and abroad. This strategy is less risky as it is not dependent on a few supermarkets and enables the business to maintain competitive advantage through</w:t>
            </w:r>
            <w:r>
              <w:rPr>
                <w:spacing w:val="-16"/>
              </w:rPr>
              <w:t xml:space="preserve"> </w:t>
            </w:r>
            <w:r>
              <w:t>differentiation</w:t>
            </w:r>
          </w:p>
          <w:p w14:paraId="4B1DC5B1" w14:textId="77777777" w:rsidR="00CE626E" w:rsidRDefault="00CE626E" w:rsidP="00326E4E">
            <w:pPr>
              <w:pStyle w:val="TableParagraph"/>
              <w:spacing w:before="7"/>
              <w:rPr>
                <w:sz w:val="24"/>
              </w:rPr>
            </w:pPr>
          </w:p>
          <w:p w14:paraId="50360166" w14:textId="77777777" w:rsidR="00CE626E" w:rsidRDefault="00CE626E" w:rsidP="00326E4E">
            <w:pPr>
              <w:pStyle w:val="TableParagraph"/>
              <w:spacing w:before="1"/>
              <w:ind w:left="852"/>
            </w:pPr>
            <w:r>
              <w:rPr>
                <w:u w:val="single"/>
              </w:rPr>
              <w:t>Example of possible ‘MOPS’ recommendations</w:t>
            </w:r>
          </w:p>
          <w:p w14:paraId="42E087B0" w14:textId="77777777" w:rsidR="00CE626E" w:rsidRDefault="00CE626E" w:rsidP="00326E4E">
            <w:pPr>
              <w:pStyle w:val="TableParagraph"/>
              <w:spacing w:before="7"/>
              <w:rPr>
                <w:sz w:val="28"/>
              </w:rPr>
            </w:pPr>
          </w:p>
          <w:p w14:paraId="3AC2386A" w14:textId="77777777" w:rsidR="00CE626E" w:rsidRDefault="00CE626E" w:rsidP="00326E4E">
            <w:pPr>
              <w:pStyle w:val="TableParagraph"/>
              <w:spacing w:line="276" w:lineRule="auto"/>
              <w:ind w:left="108" w:right="525"/>
            </w:pPr>
            <w:r>
              <w:rPr>
                <w:b/>
              </w:rPr>
              <w:t xml:space="preserve">Market </w:t>
            </w:r>
            <w:r>
              <w:t>– the market is the ready meals market. It is a growing market which is dominated by supermarket own brands.</w:t>
            </w:r>
          </w:p>
          <w:p w14:paraId="47FB0D4E" w14:textId="77777777" w:rsidR="00CE626E" w:rsidRDefault="00CE626E" w:rsidP="00326E4E">
            <w:pPr>
              <w:pStyle w:val="TableParagraph"/>
              <w:spacing w:line="276" w:lineRule="auto"/>
              <w:ind w:left="108" w:right="659"/>
            </w:pPr>
            <w:r>
              <w:t>Consequently, in order to achieve the aim of market leader, focusing on producing ‘own label’ ready meals would appear to be the best option.</w:t>
            </w:r>
          </w:p>
          <w:p w14:paraId="053A382A" w14:textId="77777777" w:rsidR="00CE626E" w:rsidRDefault="00CE626E" w:rsidP="00326E4E">
            <w:pPr>
              <w:pStyle w:val="TableParagraph"/>
              <w:spacing w:before="4"/>
              <w:rPr>
                <w:sz w:val="25"/>
              </w:rPr>
            </w:pPr>
          </w:p>
          <w:p w14:paraId="25895A08" w14:textId="77777777" w:rsidR="00CE626E" w:rsidRDefault="00CE626E" w:rsidP="00326E4E">
            <w:pPr>
              <w:pStyle w:val="TableParagraph"/>
              <w:spacing w:line="276" w:lineRule="auto"/>
              <w:ind w:left="108" w:right="705"/>
            </w:pPr>
            <w:r>
              <w:rPr>
                <w:b/>
              </w:rPr>
              <w:t xml:space="preserve">Objectives </w:t>
            </w:r>
            <w:r>
              <w:t>– Mumtaz aims to be the market leader in Asian ready meals. It already has an established reputation for premium products and supplies the big supermarkets (e.g. Tesco 18%) with its own products. Consequently, selling more Mumtaz premium brand products would be the best option.</w:t>
            </w:r>
          </w:p>
          <w:p w14:paraId="214FB648" w14:textId="77777777" w:rsidR="00CE626E" w:rsidRDefault="00CE626E" w:rsidP="00326E4E">
            <w:pPr>
              <w:pStyle w:val="TableParagraph"/>
              <w:spacing w:before="3"/>
              <w:rPr>
                <w:sz w:val="25"/>
              </w:rPr>
            </w:pPr>
          </w:p>
          <w:p w14:paraId="0A10A5AD" w14:textId="77777777" w:rsidR="00CE626E" w:rsidRDefault="00CE626E" w:rsidP="00326E4E">
            <w:pPr>
              <w:pStyle w:val="TableParagraph"/>
              <w:spacing w:line="276" w:lineRule="auto"/>
              <w:ind w:left="108" w:right="718"/>
            </w:pPr>
            <w:r>
              <w:rPr>
                <w:b/>
              </w:rPr>
              <w:t xml:space="preserve">Product </w:t>
            </w:r>
            <w:r>
              <w:t>– Mumtaz is innovative e.g. the new Halal baby food range. The introduction of new product ranges is an important factor in driving sales. Retailers offer different recipes which enable them to meet a wide range of consumer tastes.</w:t>
            </w:r>
          </w:p>
          <w:p w14:paraId="3BB09632" w14:textId="77777777" w:rsidR="00CE626E" w:rsidRDefault="00CE626E" w:rsidP="00326E4E">
            <w:pPr>
              <w:pStyle w:val="TableParagraph"/>
              <w:spacing w:before="1" w:line="276" w:lineRule="auto"/>
              <w:ind w:left="108" w:right="878"/>
            </w:pPr>
            <w:r>
              <w:t>Consequently, the supermarket ‘own label’ option should be chosen because it offers Mumtaz more opportunities to sell a wider range of products enabling it to achieve its aim of becoming market leader.</w:t>
            </w:r>
          </w:p>
          <w:p w14:paraId="007EC66C" w14:textId="77777777" w:rsidR="00CE626E" w:rsidRDefault="00CE626E" w:rsidP="00326E4E">
            <w:pPr>
              <w:pStyle w:val="TableParagraph"/>
              <w:spacing w:before="4"/>
              <w:rPr>
                <w:sz w:val="25"/>
              </w:rPr>
            </w:pPr>
          </w:p>
          <w:p w14:paraId="1A8ED0F0" w14:textId="77777777" w:rsidR="00CE626E" w:rsidRDefault="00CE626E" w:rsidP="00326E4E">
            <w:pPr>
              <w:pStyle w:val="TableParagraph"/>
              <w:spacing w:before="1" w:line="276" w:lineRule="auto"/>
              <w:ind w:left="108" w:right="620"/>
            </w:pPr>
            <w:r>
              <w:rPr>
                <w:b/>
              </w:rPr>
              <w:t xml:space="preserve">Situation </w:t>
            </w:r>
            <w:r>
              <w:t>– Mumtaz is an expanding business with the ready meals part of the Group growing by 15-20% a year. It is also exporting to over 40 countries and planning to manufacture ready meals in Asia. Consequently, the best option would be to focus on premium brand products so they could establish Mumtaz as a global brand and achieve its aim of becoming market leader.</w:t>
            </w:r>
          </w:p>
        </w:tc>
        <w:tc>
          <w:tcPr>
            <w:tcW w:w="849" w:type="dxa"/>
          </w:tcPr>
          <w:p w14:paraId="73F24766" w14:textId="77777777" w:rsidR="00CE626E" w:rsidRDefault="00CE626E" w:rsidP="00326E4E">
            <w:pPr>
              <w:pStyle w:val="TableParagraph"/>
              <w:rPr>
                <w:sz w:val="26"/>
              </w:rPr>
            </w:pPr>
          </w:p>
          <w:p w14:paraId="30AA12F2" w14:textId="77777777" w:rsidR="00CE626E" w:rsidRDefault="00CE626E" w:rsidP="00326E4E">
            <w:pPr>
              <w:pStyle w:val="TableParagraph"/>
              <w:rPr>
                <w:sz w:val="26"/>
              </w:rPr>
            </w:pPr>
          </w:p>
          <w:p w14:paraId="07A5ABF4" w14:textId="77777777" w:rsidR="00CE626E" w:rsidRDefault="00CE626E" w:rsidP="00326E4E">
            <w:pPr>
              <w:pStyle w:val="TableParagraph"/>
              <w:rPr>
                <w:sz w:val="26"/>
              </w:rPr>
            </w:pPr>
          </w:p>
          <w:p w14:paraId="79C2618A" w14:textId="77777777" w:rsidR="00CE626E" w:rsidRDefault="00CE626E" w:rsidP="00326E4E">
            <w:pPr>
              <w:pStyle w:val="TableParagraph"/>
              <w:rPr>
                <w:sz w:val="26"/>
              </w:rPr>
            </w:pPr>
          </w:p>
          <w:p w14:paraId="3124EA4A" w14:textId="77777777" w:rsidR="00CE626E" w:rsidRDefault="00CE626E" w:rsidP="00326E4E">
            <w:pPr>
              <w:pStyle w:val="TableParagraph"/>
              <w:rPr>
                <w:sz w:val="26"/>
              </w:rPr>
            </w:pPr>
          </w:p>
          <w:p w14:paraId="703CD5CC" w14:textId="77777777" w:rsidR="00CE626E" w:rsidRDefault="00CE626E" w:rsidP="00326E4E">
            <w:pPr>
              <w:pStyle w:val="TableParagraph"/>
              <w:rPr>
                <w:sz w:val="26"/>
              </w:rPr>
            </w:pPr>
          </w:p>
          <w:p w14:paraId="68E2E6CC" w14:textId="77777777" w:rsidR="00CE626E" w:rsidRDefault="00CE626E" w:rsidP="00326E4E">
            <w:pPr>
              <w:pStyle w:val="TableParagraph"/>
              <w:rPr>
                <w:sz w:val="26"/>
              </w:rPr>
            </w:pPr>
          </w:p>
          <w:p w14:paraId="63BD0B54" w14:textId="77777777" w:rsidR="00CE626E" w:rsidRDefault="00CE626E" w:rsidP="00326E4E">
            <w:pPr>
              <w:pStyle w:val="TableParagraph"/>
              <w:rPr>
                <w:sz w:val="26"/>
              </w:rPr>
            </w:pPr>
          </w:p>
          <w:p w14:paraId="666892F2" w14:textId="77777777" w:rsidR="00CE626E" w:rsidRDefault="00CE626E" w:rsidP="00326E4E">
            <w:pPr>
              <w:pStyle w:val="TableParagraph"/>
              <w:rPr>
                <w:sz w:val="26"/>
              </w:rPr>
            </w:pPr>
          </w:p>
          <w:p w14:paraId="54DA2A4D" w14:textId="77777777" w:rsidR="00CE626E" w:rsidRDefault="00CE626E" w:rsidP="00326E4E">
            <w:pPr>
              <w:pStyle w:val="TableParagraph"/>
              <w:rPr>
                <w:sz w:val="26"/>
              </w:rPr>
            </w:pPr>
          </w:p>
          <w:p w14:paraId="5095A463" w14:textId="77777777" w:rsidR="00CE626E" w:rsidRDefault="00CE626E" w:rsidP="00326E4E">
            <w:pPr>
              <w:pStyle w:val="TableParagraph"/>
              <w:rPr>
                <w:sz w:val="26"/>
              </w:rPr>
            </w:pPr>
          </w:p>
          <w:p w14:paraId="17D050B2" w14:textId="77777777" w:rsidR="00CE626E" w:rsidRDefault="00CE626E" w:rsidP="00326E4E">
            <w:pPr>
              <w:pStyle w:val="TableParagraph"/>
              <w:rPr>
                <w:sz w:val="26"/>
              </w:rPr>
            </w:pPr>
          </w:p>
          <w:p w14:paraId="2DB47144" w14:textId="77777777" w:rsidR="00CE626E" w:rsidRDefault="00CE626E" w:rsidP="00326E4E">
            <w:pPr>
              <w:pStyle w:val="TableParagraph"/>
              <w:rPr>
                <w:sz w:val="26"/>
              </w:rPr>
            </w:pPr>
          </w:p>
          <w:p w14:paraId="7E6A04CE" w14:textId="77777777" w:rsidR="00CE626E" w:rsidRDefault="00CE626E" w:rsidP="00326E4E">
            <w:pPr>
              <w:pStyle w:val="TableParagraph"/>
              <w:rPr>
                <w:sz w:val="26"/>
              </w:rPr>
            </w:pPr>
          </w:p>
          <w:p w14:paraId="44476180" w14:textId="77777777" w:rsidR="00CE626E" w:rsidRDefault="00CE626E" w:rsidP="00326E4E">
            <w:pPr>
              <w:pStyle w:val="TableParagraph"/>
              <w:rPr>
                <w:sz w:val="26"/>
              </w:rPr>
            </w:pPr>
          </w:p>
          <w:p w14:paraId="01743F59" w14:textId="77777777" w:rsidR="00CE626E" w:rsidRDefault="00CE626E" w:rsidP="00326E4E">
            <w:pPr>
              <w:pStyle w:val="TableParagraph"/>
              <w:rPr>
                <w:sz w:val="26"/>
              </w:rPr>
            </w:pPr>
          </w:p>
          <w:p w14:paraId="63AEF69F" w14:textId="77777777" w:rsidR="00CE626E" w:rsidRDefault="00CE626E" w:rsidP="00326E4E">
            <w:pPr>
              <w:pStyle w:val="TableParagraph"/>
              <w:rPr>
                <w:sz w:val="26"/>
              </w:rPr>
            </w:pPr>
          </w:p>
          <w:p w14:paraId="4A3821EE" w14:textId="77777777" w:rsidR="00CE626E" w:rsidRDefault="00CE626E" w:rsidP="00326E4E">
            <w:pPr>
              <w:pStyle w:val="TableParagraph"/>
              <w:rPr>
                <w:sz w:val="26"/>
              </w:rPr>
            </w:pPr>
          </w:p>
          <w:p w14:paraId="667A898A" w14:textId="77777777" w:rsidR="00CE626E" w:rsidRDefault="00CE626E" w:rsidP="00326E4E">
            <w:pPr>
              <w:pStyle w:val="TableParagraph"/>
              <w:rPr>
                <w:sz w:val="26"/>
              </w:rPr>
            </w:pPr>
          </w:p>
          <w:p w14:paraId="05FB6A6C" w14:textId="77777777" w:rsidR="00CE626E" w:rsidRDefault="00CE626E" w:rsidP="00326E4E">
            <w:pPr>
              <w:pStyle w:val="TableParagraph"/>
              <w:rPr>
                <w:sz w:val="26"/>
              </w:rPr>
            </w:pPr>
          </w:p>
          <w:p w14:paraId="192E6B4E" w14:textId="77777777" w:rsidR="00CE626E" w:rsidRDefault="00CE626E" w:rsidP="00326E4E">
            <w:pPr>
              <w:pStyle w:val="TableParagraph"/>
              <w:rPr>
                <w:sz w:val="26"/>
              </w:rPr>
            </w:pPr>
          </w:p>
          <w:p w14:paraId="24D76069" w14:textId="77777777" w:rsidR="00CE626E" w:rsidRDefault="00CE626E" w:rsidP="00326E4E">
            <w:pPr>
              <w:pStyle w:val="TableParagraph"/>
              <w:rPr>
                <w:sz w:val="26"/>
              </w:rPr>
            </w:pPr>
          </w:p>
          <w:p w14:paraId="759A6426" w14:textId="77777777" w:rsidR="00CE626E" w:rsidRDefault="00CE626E" w:rsidP="00326E4E">
            <w:pPr>
              <w:pStyle w:val="TableParagraph"/>
              <w:rPr>
                <w:sz w:val="26"/>
              </w:rPr>
            </w:pPr>
          </w:p>
          <w:p w14:paraId="3F00F500" w14:textId="77777777" w:rsidR="00CE626E" w:rsidRDefault="00CE626E" w:rsidP="00326E4E">
            <w:pPr>
              <w:pStyle w:val="TableParagraph"/>
              <w:rPr>
                <w:sz w:val="26"/>
              </w:rPr>
            </w:pPr>
          </w:p>
          <w:p w14:paraId="22C3C9C2" w14:textId="77777777" w:rsidR="00CE626E" w:rsidRDefault="00CE626E" w:rsidP="00326E4E">
            <w:pPr>
              <w:pStyle w:val="TableParagraph"/>
              <w:rPr>
                <w:sz w:val="26"/>
              </w:rPr>
            </w:pPr>
          </w:p>
          <w:p w14:paraId="4C1FD943" w14:textId="77777777" w:rsidR="00CE626E" w:rsidRDefault="00CE626E" w:rsidP="00326E4E">
            <w:pPr>
              <w:pStyle w:val="TableParagraph"/>
              <w:rPr>
                <w:sz w:val="26"/>
              </w:rPr>
            </w:pPr>
          </w:p>
          <w:p w14:paraId="7CDECB9C" w14:textId="77777777" w:rsidR="00CE626E" w:rsidRDefault="00CE626E" w:rsidP="00326E4E">
            <w:pPr>
              <w:pStyle w:val="TableParagraph"/>
              <w:rPr>
                <w:sz w:val="26"/>
              </w:rPr>
            </w:pPr>
          </w:p>
          <w:p w14:paraId="0A360B92" w14:textId="77777777" w:rsidR="00CE626E" w:rsidRDefault="00CE626E" w:rsidP="00326E4E">
            <w:pPr>
              <w:pStyle w:val="TableParagraph"/>
              <w:rPr>
                <w:sz w:val="26"/>
              </w:rPr>
            </w:pPr>
          </w:p>
          <w:p w14:paraId="5666A918" w14:textId="77777777" w:rsidR="00CE626E" w:rsidRDefault="00CE626E" w:rsidP="00326E4E">
            <w:pPr>
              <w:pStyle w:val="TableParagraph"/>
              <w:rPr>
                <w:sz w:val="26"/>
              </w:rPr>
            </w:pPr>
          </w:p>
          <w:p w14:paraId="3B71DB61" w14:textId="77777777" w:rsidR="00CE626E" w:rsidRDefault="00CE626E" w:rsidP="00326E4E">
            <w:pPr>
              <w:pStyle w:val="TableParagraph"/>
              <w:rPr>
                <w:sz w:val="26"/>
              </w:rPr>
            </w:pPr>
          </w:p>
          <w:p w14:paraId="19F9F407" w14:textId="77777777" w:rsidR="00CE626E" w:rsidRDefault="00CE626E" w:rsidP="00326E4E">
            <w:pPr>
              <w:pStyle w:val="TableParagraph"/>
              <w:rPr>
                <w:sz w:val="26"/>
              </w:rPr>
            </w:pPr>
          </w:p>
          <w:p w14:paraId="25137794" w14:textId="77777777" w:rsidR="00CE626E" w:rsidRDefault="00CE626E" w:rsidP="00326E4E">
            <w:pPr>
              <w:pStyle w:val="TableParagraph"/>
              <w:rPr>
                <w:sz w:val="26"/>
              </w:rPr>
            </w:pPr>
          </w:p>
          <w:p w14:paraId="76DF23BB" w14:textId="77777777" w:rsidR="00CE626E" w:rsidRDefault="00CE626E" w:rsidP="00326E4E">
            <w:pPr>
              <w:pStyle w:val="TableParagraph"/>
              <w:rPr>
                <w:sz w:val="26"/>
              </w:rPr>
            </w:pPr>
          </w:p>
          <w:p w14:paraId="696ABB43" w14:textId="77777777" w:rsidR="00CE626E" w:rsidRDefault="00CE626E" w:rsidP="00326E4E">
            <w:pPr>
              <w:pStyle w:val="TableParagraph"/>
              <w:rPr>
                <w:sz w:val="26"/>
              </w:rPr>
            </w:pPr>
          </w:p>
          <w:p w14:paraId="3E9EDCC5" w14:textId="77777777" w:rsidR="00CE626E" w:rsidRDefault="00CE626E" w:rsidP="00326E4E">
            <w:pPr>
              <w:pStyle w:val="TableParagraph"/>
              <w:rPr>
                <w:sz w:val="26"/>
              </w:rPr>
            </w:pPr>
          </w:p>
          <w:p w14:paraId="6F884CD4" w14:textId="77777777" w:rsidR="00CE626E" w:rsidRDefault="00CE626E" w:rsidP="00326E4E">
            <w:pPr>
              <w:pStyle w:val="TableParagraph"/>
              <w:rPr>
                <w:sz w:val="26"/>
              </w:rPr>
            </w:pPr>
          </w:p>
          <w:p w14:paraId="5AF843FF" w14:textId="77777777" w:rsidR="00CE626E" w:rsidRDefault="00CE626E" w:rsidP="00326E4E">
            <w:pPr>
              <w:pStyle w:val="TableParagraph"/>
              <w:rPr>
                <w:sz w:val="26"/>
              </w:rPr>
            </w:pPr>
          </w:p>
          <w:p w14:paraId="01556588" w14:textId="77777777" w:rsidR="00CE626E" w:rsidRDefault="00CE626E" w:rsidP="00326E4E">
            <w:pPr>
              <w:pStyle w:val="TableParagraph"/>
              <w:rPr>
                <w:sz w:val="26"/>
              </w:rPr>
            </w:pPr>
          </w:p>
          <w:p w14:paraId="4424C85B" w14:textId="77777777" w:rsidR="00CE626E" w:rsidRDefault="00CE626E" w:rsidP="00326E4E">
            <w:pPr>
              <w:pStyle w:val="TableParagraph"/>
              <w:spacing w:before="166"/>
              <w:ind w:left="108"/>
              <w:rPr>
                <w:b/>
              </w:rPr>
            </w:pPr>
            <w:r>
              <w:rPr>
                <w:b/>
              </w:rPr>
              <w:t>(20)</w:t>
            </w:r>
          </w:p>
        </w:tc>
      </w:tr>
    </w:tbl>
    <w:p w14:paraId="417D772D" w14:textId="77777777" w:rsidR="00CE626E" w:rsidRDefault="00CE626E" w:rsidP="00CE626E"/>
    <w:p w14:paraId="0551CBEC" w14:textId="77777777" w:rsidR="00CE626E" w:rsidRDefault="00CE626E" w:rsidP="00CE626E"/>
    <w:p w14:paraId="2E08D6A8" w14:textId="77777777" w:rsidR="00CE626E" w:rsidRDefault="00CE626E" w:rsidP="00CE626E"/>
    <w:p w14:paraId="241FAE2B" w14:textId="77777777" w:rsidR="00CE626E" w:rsidRDefault="00CE626E" w:rsidP="00CE626E"/>
    <w:tbl>
      <w:tblPr>
        <w:tblpPr w:leftFromText="180" w:rightFromText="180" w:horzAnchor="margin" w:tblpY="-343"/>
        <w:tblW w:w="9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7"/>
        <w:gridCol w:w="1133"/>
        <w:gridCol w:w="7090"/>
      </w:tblGrid>
      <w:tr w:rsidR="00CE626E" w14:paraId="018098B2" w14:textId="77777777" w:rsidTr="00326E4E">
        <w:trPr>
          <w:trHeight w:val="285"/>
        </w:trPr>
        <w:tc>
          <w:tcPr>
            <w:tcW w:w="1387" w:type="dxa"/>
            <w:shd w:val="clear" w:color="auto" w:fill="BFBFBF" w:themeFill="background1" w:themeFillShade="BF"/>
          </w:tcPr>
          <w:p w14:paraId="6E6977DE" w14:textId="77777777" w:rsidR="00CE626E" w:rsidRDefault="00CE626E" w:rsidP="00326E4E">
            <w:pPr>
              <w:pStyle w:val="TableParagraph"/>
              <w:spacing w:before="2" w:line="263" w:lineRule="exact"/>
              <w:ind w:left="107"/>
            </w:pPr>
            <w:r>
              <w:lastRenderedPageBreak/>
              <w:t>Level</w:t>
            </w:r>
          </w:p>
        </w:tc>
        <w:tc>
          <w:tcPr>
            <w:tcW w:w="1133" w:type="dxa"/>
            <w:shd w:val="clear" w:color="auto" w:fill="BFBFBF" w:themeFill="background1" w:themeFillShade="BF"/>
          </w:tcPr>
          <w:p w14:paraId="5F286E17" w14:textId="77777777" w:rsidR="00CE626E" w:rsidRDefault="00CE626E" w:rsidP="00326E4E">
            <w:pPr>
              <w:pStyle w:val="TableParagraph"/>
              <w:spacing w:before="2" w:line="263" w:lineRule="exact"/>
              <w:ind w:left="107"/>
            </w:pPr>
            <w:r>
              <w:t>Mark</w:t>
            </w:r>
          </w:p>
        </w:tc>
        <w:tc>
          <w:tcPr>
            <w:tcW w:w="7090" w:type="dxa"/>
            <w:shd w:val="clear" w:color="auto" w:fill="BFBFBF" w:themeFill="background1" w:themeFillShade="BF"/>
          </w:tcPr>
          <w:p w14:paraId="2D145EAB" w14:textId="77777777" w:rsidR="00CE626E" w:rsidRDefault="00CE626E" w:rsidP="00326E4E">
            <w:pPr>
              <w:pStyle w:val="TableParagraph"/>
              <w:spacing w:before="2" w:line="263" w:lineRule="exact"/>
              <w:ind w:left="108"/>
            </w:pPr>
            <w:r>
              <w:t>Descriptor</w:t>
            </w:r>
          </w:p>
        </w:tc>
      </w:tr>
      <w:tr w:rsidR="00CE626E" w14:paraId="233911F5" w14:textId="77777777" w:rsidTr="00326E4E">
        <w:trPr>
          <w:trHeight w:val="295"/>
        </w:trPr>
        <w:tc>
          <w:tcPr>
            <w:tcW w:w="1387" w:type="dxa"/>
          </w:tcPr>
          <w:p w14:paraId="3D6E9E96" w14:textId="77777777" w:rsidR="00CE626E" w:rsidRDefault="00CE626E" w:rsidP="00326E4E">
            <w:pPr>
              <w:pStyle w:val="TableParagraph"/>
              <w:rPr>
                <w:rFonts w:ascii="Times New Roman"/>
              </w:rPr>
            </w:pPr>
          </w:p>
        </w:tc>
        <w:tc>
          <w:tcPr>
            <w:tcW w:w="1133" w:type="dxa"/>
          </w:tcPr>
          <w:p w14:paraId="57C6A3A1" w14:textId="77777777" w:rsidR="00CE626E" w:rsidRDefault="00CE626E" w:rsidP="00326E4E">
            <w:pPr>
              <w:pStyle w:val="TableParagraph"/>
              <w:spacing w:before="24" w:line="251" w:lineRule="exact"/>
              <w:ind w:left="107"/>
            </w:pPr>
            <w:r>
              <w:t>0</w:t>
            </w:r>
          </w:p>
        </w:tc>
        <w:tc>
          <w:tcPr>
            <w:tcW w:w="7090" w:type="dxa"/>
          </w:tcPr>
          <w:p w14:paraId="7A803332" w14:textId="77777777" w:rsidR="00CE626E" w:rsidRDefault="00CE626E" w:rsidP="00326E4E">
            <w:pPr>
              <w:pStyle w:val="TableParagraph"/>
              <w:spacing w:before="24" w:line="251" w:lineRule="exact"/>
              <w:ind w:left="108"/>
            </w:pPr>
            <w:r>
              <w:t>A completely inaccurate response.</w:t>
            </w:r>
          </w:p>
        </w:tc>
      </w:tr>
      <w:tr w:rsidR="00CE626E" w14:paraId="5AA428A2" w14:textId="77777777" w:rsidTr="00326E4E">
        <w:trPr>
          <w:trHeight w:val="1257"/>
        </w:trPr>
        <w:tc>
          <w:tcPr>
            <w:tcW w:w="1387" w:type="dxa"/>
          </w:tcPr>
          <w:p w14:paraId="5F72A32B" w14:textId="77777777" w:rsidR="00CE626E" w:rsidRDefault="00CE626E" w:rsidP="00326E4E">
            <w:pPr>
              <w:pStyle w:val="TableParagraph"/>
              <w:spacing w:before="26"/>
              <w:ind w:left="107"/>
            </w:pPr>
            <w:r>
              <w:t>Level 1</w:t>
            </w:r>
          </w:p>
        </w:tc>
        <w:tc>
          <w:tcPr>
            <w:tcW w:w="1133" w:type="dxa"/>
          </w:tcPr>
          <w:p w14:paraId="4BEA872E" w14:textId="77777777" w:rsidR="00CE626E" w:rsidRDefault="00CE626E" w:rsidP="00326E4E">
            <w:pPr>
              <w:pStyle w:val="TableParagraph"/>
              <w:spacing w:before="26"/>
              <w:ind w:left="107"/>
            </w:pPr>
            <w:r>
              <w:t>1–4</w:t>
            </w:r>
          </w:p>
        </w:tc>
        <w:tc>
          <w:tcPr>
            <w:tcW w:w="7090" w:type="dxa"/>
          </w:tcPr>
          <w:p w14:paraId="7F50D263" w14:textId="77777777" w:rsidR="00CE626E" w:rsidRDefault="00CE626E" w:rsidP="00326E4E">
            <w:pPr>
              <w:pStyle w:val="TableParagraph"/>
              <w:spacing w:before="26" w:line="249" w:lineRule="auto"/>
              <w:ind w:left="108" w:right="431"/>
            </w:pPr>
            <w:r>
              <w:t>Isolated elements of knowledge and understanding. Weak or no relevant application of  business examples. An argument may be attempted, but will be generic and fail</w:t>
            </w:r>
            <w:r>
              <w:rPr>
                <w:spacing w:val="1"/>
              </w:rPr>
              <w:t xml:space="preserve"> </w:t>
            </w:r>
            <w:r>
              <w:t>to</w:t>
            </w:r>
            <w:r>
              <w:rPr>
                <w:spacing w:val="47"/>
              </w:rPr>
              <w:t xml:space="preserve"> </w:t>
            </w:r>
            <w:r>
              <w:t>connect</w:t>
            </w:r>
            <w:r>
              <w:rPr>
                <w:spacing w:val="47"/>
              </w:rPr>
              <w:t xml:space="preserve"> </w:t>
            </w:r>
            <w:r>
              <w:t>cause(s)</w:t>
            </w:r>
            <w:r>
              <w:rPr>
                <w:spacing w:val="47"/>
              </w:rPr>
              <w:t xml:space="preserve"> </w:t>
            </w:r>
            <w:r>
              <w:t>and/or</w:t>
            </w:r>
            <w:r>
              <w:rPr>
                <w:spacing w:val="47"/>
              </w:rPr>
              <w:t xml:space="preserve"> </w:t>
            </w:r>
            <w:r>
              <w:t>consequence(s)/effect(s).</w:t>
            </w:r>
          </w:p>
        </w:tc>
      </w:tr>
      <w:tr w:rsidR="00CE626E" w14:paraId="2E7CEDE6" w14:textId="77777777" w:rsidTr="00326E4E">
        <w:trPr>
          <w:trHeight w:val="2253"/>
        </w:trPr>
        <w:tc>
          <w:tcPr>
            <w:tcW w:w="1387" w:type="dxa"/>
          </w:tcPr>
          <w:p w14:paraId="66B7B4AD" w14:textId="77777777" w:rsidR="00CE626E" w:rsidRDefault="00CE626E" w:rsidP="00326E4E">
            <w:pPr>
              <w:pStyle w:val="TableParagraph"/>
              <w:spacing w:before="26"/>
              <w:ind w:left="107"/>
            </w:pPr>
            <w:r>
              <w:t>Level 2</w:t>
            </w:r>
          </w:p>
        </w:tc>
        <w:tc>
          <w:tcPr>
            <w:tcW w:w="1133" w:type="dxa"/>
          </w:tcPr>
          <w:p w14:paraId="309B4B48" w14:textId="77777777" w:rsidR="00CE626E" w:rsidRDefault="00CE626E" w:rsidP="00326E4E">
            <w:pPr>
              <w:pStyle w:val="TableParagraph"/>
              <w:spacing w:before="26"/>
              <w:ind w:left="107"/>
            </w:pPr>
            <w:r>
              <w:t>5–8</w:t>
            </w:r>
          </w:p>
        </w:tc>
        <w:tc>
          <w:tcPr>
            <w:tcW w:w="7090" w:type="dxa"/>
          </w:tcPr>
          <w:p w14:paraId="50A3DB5A" w14:textId="77777777" w:rsidR="00CE626E" w:rsidRDefault="00CE626E" w:rsidP="00326E4E">
            <w:pPr>
              <w:pStyle w:val="TableParagraph"/>
              <w:spacing w:before="26" w:line="252" w:lineRule="auto"/>
              <w:ind w:left="108" w:right="342"/>
            </w:pPr>
            <w:r>
              <w:t>Elements of knowledge and understanding, which are applied to the business example.</w:t>
            </w:r>
          </w:p>
          <w:p w14:paraId="3922EF80" w14:textId="77777777" w:rsidR="00CE626E" w:rsidRDefault="00CE626E" w:rsidP="00326E4E">
            <w:pPr>
              <w:pStyle w:val="TableParagraph"/>
              <w:spacing w:line="249" w:lineRule="auto"/>
              <w:ind w:left="108" w:right="236"/>
            </w:pPr>
            <w:r>
              <w:t>Arguments and chains of reasoning are presented, but connections between cause(s) and/or consequence(s)/ effect(s) are incomplete. Attempts to address the question.  A comparison or judgement may be attempted, but it will  not</w:t>
            </w:r>
            <w:r>
              <w:rPr>
                <w:spacing w:val="4"/>
              </w:rPr>
              <w:t xml:space="preserve"> </w:t>
            </w:r>
            <w:r>
              <w:t>successfully</w:t>
            </w:r>
            <w:r>
              <w:rPr>
                <w:spacing w:val="23"/>
              </w:rPr>
              <w:t xml:space="preserve"> </w:t>
            </w:r>
            <w:r>
              <w:t>show</w:t>
            </w:r>
            <w:r>
              <w:rPr>
                <w:spacing w:val="27"/>
              </w:rPr>
              <w:t xml:space="preserve"> </w:t>
            </w:r>
            <w:r>
              <w:t>an</w:t>
            </w:r>
            <w:r>
              <w:rPr>
                <w:spacing w:val="24"/>
              </w:rPr>
              <w:t xml:space="preserve"> </w:t>
            </w:r>
            <w:r>
              <w:t>awareness</w:t>
            </w:r>
            <w:r>
              <w:rPr>
                <w:spacing w:val="24"/>
              </w:rPr>
              <w:t xml:space="preserve"> </w:t>
            </w:r>
            <w:r>
              <w:t>of</w:t>
            </w:r>
            <w:r>
              <w:rPr>
                <w:spacing w:val="22"/>
              </w:rPr>
              <w:t xml:space="preserve"> </w:t>
            </w:r>
            <w:r>
              <w:t>the</w:t>
            </w:r>
            <w:r>
              <w:rPr>
                <w:spacing w:val="25"/>
              </w:rPr>
              <w:t xml:space="preserve"> </w:t>
            </w:r>
            <w:r>
              <w:t>key</w:t>
            </w:r>
            <w:r>
              <w:rPr>
                <w:spacing w:val="20"/>
              </w:rPr>
              <w:t xml:space="preserve"> </w:t>
            </w:r>
            <w:r>
              <w:t>features</w:t>
            </w:r>
            <w:r>
              <w:rPr>
                <w:spacing w:val="25"/>
              </w:rPr>
              <w:t xml:space="preserve"> </w:t>
            </w:r>
            <w:r>
              <w:t>of</w:t>
            </w:r>
          </w:p>
          <w:p w14:paraId="0C4AD93F" w14:textId="77777777" w:rsidR="00CE626E" w:rsidRDefault="00CE626E" w:rsidP="00326E4E">
            <w:pPr>
              <w:pStyle w:val="TableParagraph"/>
              <w:spacing w:before="4" w:line="251" w:lineRule="exact"/>
              <w:ind w:left="108"/>
            </w:pPr>
            <w:r>
              <w:t>business behaviour or business</w:t>
            </w:r>
            <w:r>
              <w:rPr>
                <w:spacing w:val="59"/>
              </w:rPr>
              <w:t xml:space="preserve"> </w:t>
            </w:r>
            <w:r>
              <w:t>situation.</w:t>
            </w:r>
          </w:p>
        </w:tc>
      </w:tr>
      <w:tr w:rsidR="00CE626E" w14:paraId="7248DBAC" w14:textId="77777777" w:rsidTr="00326E4E">
        <w:trPr>
          <w:trHeight w:val="3107"/>
        </w:trPr>
        <w:tc>
          <w:tcPr>
            <w:tcW w:w="1387" w:type="dxa"/>
          </w:tcPr>
          <w:p w14:paraId="09BF6A3F" w14:textId="77777777" w:rsidR="00CE626E" w:rsidRDefault="00CE626E" w:rsidP="00326E4E">
            <w:pPr>
              <w:pStyle w:val="TableParagraph"/>
              <w:spacing w:before="26"/>
              <w:ind w:left="107"/>
            </w:pPr>
            <w:r>
              <w:t>Level 3</w:t>
            </w:r>
          </w:p>
        </w:tc>
        <w:tc>
          <w:tcPr>
            <w:tcW w:w="1133" w:type="dxa"/>
          </w:tcPr>
          <w:p w14:paraId="0F5BB6A0" w14:textId="77777777" w:rsidR="00CE626E" w:rsidRDefault="00CE626E" w:rsidP="00326E4E">
            <w:pPr>
              <w:pStyle w:val="TableParagraph"/>
              <w:spacing w:before="26"/>
              <w:ind w:left="107"/>
            </w:pPr>
            <w:r>
              <w:t>9–14</w:t>
            </w:r>
          </w:p>
        </w:tc>
        <w:tc>
          <w:tcPr>
            <w:tcW w:w="7090" w:type="dxa"/>
          </w:tcPr>
          <w:p w14:paraId="4C79D365" w14:textId="77777777" w:rsidR="00CE626E" w:rsidRDefault="00CE626E" w:rsidP="00326E4E">
            <w:pPr>
              <w:pStyle w:val="TableParagraph"/>
              <w:spacing w:before="23" w:line="252" w:lineRule="auto"/>
              <w:ind w:left="108" w:right="744"/>
              <w:jc w:val="both"/>
            </w:pPr>
            <w:r>
              <w:t>Accurate and thorough knowledge and understanding, supported throughout by relevant and effective use of the business behaviour/context.</w:t>
            </w:r>
          </w:p>
          <w:p w14:paraId="78AF972A" w14:textId="77777777" w:rsidR="00CE626E" w:rsidRDefault="00CE626E" w:rsidP="00326E4E">
            <w:pPr>
              <w:pStyle w:val="TableParagraph"/>
              <w:spacing w:line="252" w:lineRule="auto"/>
              <w:ind w:left="108" w:right="342"/>
            </w:pPr>
            <w:r>
              <w:t>Uses developed chains of reasoning, so that cause(s) and/or consequence(s)/effect(s) are complete, showing an understanding of the question. Arguments are well developed.</w:t>
            </w:r>
          </w:p>
          <w:p w14:paraId="03471F6C" w14:textId="77777777" w:rsidR="00CE626E" w:rsidRDefault="00CE626E" w:rsidP="00326E4E">
            <w:pPr>
              <w:pStyle w:val="TableParagraph"/>
              <w:spacing w:line="252" w:lineRule="auto"/>
              <w:ind w:left="108"/>
            </w:pPr>
            <w:r>
              <w:t>Quantitative or qualitative information is introduced in an attempt to support judgements, a partial awareness of the validity and/or significance of competing arguments and</w:t>
            </w:r>
          </w:p>
          <w:p w14:paraId="5A8D1AC5" w14:textId="77777777" w:rsidR="00CE626E" w:rsidRDefault="00CE626E" w:rsidP="00326E4E">
            <w:pPr>
              <w:pStyle w:val="TableParagraph"/>
              <w:spacing w:line="262" w:lineRule="exact"/>
              <w:ind w:left="108"/>
            </w:pPr>
            <w:r>
              <w:t>may lead to a</w:t>
            </w:r>
            <w:r>
              <w:rPr>
                <w:spacing w:val="72"/>
              </w:rPr>
              <w:t xml:space="preserve"> </w:t>
            </w:r>
            <w:r>
              <w:t>conclusion.</w:t>
            </w:r>
          </w:p>
        </w:tc>
      </w:tr>
      <w:tr w:rsidR="00CE626E" w14:paraId="6B6CCB85" w14:textId="77777777" w:rsidTr="00326E4E">
        <w:trPr>
          <w:trHeight w:val="3472"/>
        </w:trPr>
        <w:tc>
          <w:tcPr>
            <w:tcW w:w="1387" w:type="dxa"/>
          </w:tcPr>
          <w:p w14:paraId="702039BC" w14:textId="77777777" w:rsidR="00CE626E" w:rsidRDefault="00CE626E" w:rsidP="00326E4E">
            <w:pPr>
              <w:pStyle w:val="TableParagraph"/>
              <w:spacing w:before="23"/>
              <w:ind w:left="107"/>
            </w:pPr>
            <w:r>
              <w:t>Level 4</w:t>
            </w:r>
          </w:p>
        </w:tc>
        <w:tc>
          <w:tcPr>
            <w:tcW w:w="1133" w:type="dxa"/>
          </w:tcPr>
          <w:p w14:paraId="1F53E300" w14:textId="77777777" w:rsidR="00CE626E" w:rsidRDefault="00CE626E" w:rsidP="00326E4E">
            <w:pPr>
              <w:pStyle w:val="TableParagraph"/>
              <w:spacing w:before="23"/>
              <w:ind w:left="107"/>
            </w:pPr>
            <w:r>
              <w:t>15–20</w:t>
            </w:r>
          </w:p>
        </w:tc>
        <w:tc>
          <w:tcPr>
            <w:tcW w:w="7090" w:type="dxa"/>
          </w:tcPr>
          <w:p w14:paraId="70383AA8" w14:textId="77777777" w:rsidR="00CE626E" w:rsidRDefault="00CE626E" w:rsidP="00326E4E">
            <w:pPr>
              <w:pStyle w:val="TableParagraph"/>
              <w:spacing w:before="23" w:line="252" w:lineRule="auto"/>
              <w:ind w:left="108" w:right="342"/>
            </w:pPr>
            <w:r>
              <w:t>Accurate and thorough knowledge and understanding, supported throughout by use of relevant and effective use of the business behaviour/context.</w:t>
            </w:r>
          </w:p>
          <w:p w14:paraId="382F400F" w14:textId="77777777" w:rsidR="00CE626E" w:rsidRDefault="00CE626E" w:rsidP="00326E4E">
            <w:pPr>
              <w:pStyle w:val="TableParagraph"/>
              <w:spacing w:line="249" w:lineRule="auto"/>
              <w:ind w:left="108" w:right="342"/>
            </w:pPr>
            <w:r>
              <w:t>Uses well-developed and logical, coherent chains of reasoning, showing a range of cause(s) and/or effect(s). Arguments are fully developed.</w:t>
            </w:r>
          </w:p>
          <w:p w14:paraId="07B95133" w14:textId="77777777" w:rsidR="00CE626E" w:rsidRDefault="00CE626E" w:rsidP="00326E4E">
            <w:pPr>
              <w:pStyle w:val="TableParagraph"/>
              <w:spacing w:before="1" w:line="249" w:lineRule="auto"/>
              <w:ind w:left="108" w:right="342"/>
            </w:pPr>
            <w:r>
              <w:t>Quantitative and/or qualitative information is/are used well to support judgements. A full awareness of the validity and significance of competing arguments/factors, leading to balanced comparisons, judgements and an effective conclusion that proposes a solution and/or recommendation(s).</w:t>
            </w:r>
          </w:p>
        </w:tc>
      </w:tr>
    </w:tbl>
    <w:p w14:paraId="47C89DC9" w14:textId="77777777" w:rsidR="00CE626E" w:rsidRDefault="00CE626E" w:rsidP="00CE626E"/>
    <w:p w14:paraId="7659F438" w14:textId="77777777" w:rsidR="00CE626E" w:rsidRDefault="00CE626E" w:rsidP="00CE626E">
      <w:r>
        <w:br w:type="page"/>
      </w:r>
    </w:p>
    <w:tbl>
      <w:tblPr>
        <w:tblW w:w="9898" w:type="dxa"/>
        <w:jc w:val="center"/>
        <w:tblLayout w:type="fixed"/>
        <w:tblLook w:val="0000" w:firstRow="0" w:lastRow="0" w:firstColumn="0" w:lastColumn="0" w:noHBand="0" w:noVBand="0"/>
      </w:tblPr>
      <w:tblGrid>
        <w:gridCol w:w="1271"/>
        <w:gridCol w:w="7776"/>
        <w:gridCol w:w="851"/>
      </w:tblGrid>
      <w:tr w:rsidR="00CE626E" w:rsidRPr="00B068BD" w14:paraId="09B91A19" w14:textId="77777777" w:rsidTr="00326E4E">
        <w:trPr>
          <w:trHeight w:val="243"/>
          <w:jc w:val="center"/>
        </w:trPr>
        <w:tc>
          <w:tcPr>
            <w:tcW w:w="1271" w:type="dxa"/>
            <w:tcBorders>
              <w:top w:val="single" w:sz="4" w:space="0" w:color="211D1E"/>
              <w:left w:val="single" w:sz="4" w:space="0" w:color="211D1E"/>
              <w:bottom w:val="single" w:sz="4" w:space="0" w:color="211D1E"/>
              <w:right w:val="single" w:sz="4" w:space="0" w:color="211D1E"/>
            </w:tcBorders>
            <w:shd w:val="clear" w:color="auto" w:fill="BFBFBF" w:themeFill="background1" w:themeFillShade="BF"/>
          </w:tcPr>
          <w:p w14:paraId="73FAFE21" w14:textId="77777777" w:rsidR="00CE626E" w:rsidRPr="00B068BD" w:rsidRDefault="00CE626E" w:rsidP="00326E4E">
            <w:pPr>
              <w:pStyle w:val="Default"/>
              <w:rPr>
                <w:rFonts w:ascii="Verdana" w:hAnsi="Verdana" w:cs="Calibri"/>
                <w:color w:val="auto"/>
                <w:sz w:val="22"/>
                <w:szCs w:val="22"/>
              </w:rPr>
            </w:pPr>
            <w:r w:rsidRPr="00B068BD">
              <w:rPr>
                <w:rFonts w:ascii="Verdana" w:hAnsi="Verdana" w:cs="Calibri"/>
                <w:color w:val="auto"/>
                <w:sz w:val="22"/>
                <w:szCs w:val="22"/>
              </w:rPr>
              <w:lastRenderedPageBreak/>
              <w:t>Question Number</w:t>
            </w:r>
          </w:p>
        </w:tc>
        <w:tc>
          <w:tcPr>
            <w:tcW w:w="7776" w:type="dxa"/>
            <w:tcBorders>
              <w:top w:val="single" w:sz="4" w:space="0" w:color="211D1E"/>
              <w:left w:val="single" w:sz="4" w:space="0" w:color="211D1E"/>
              <w:bottom w:val="single" w:sz="4" w:space="0" w:color="211D1E"/>
              <w:right w:val="single" w:sz="4" w:space="0" w:color="211D1E"/>
            </w:tcBorders>
            <w:shd w:val="clear" w:color="auto" w:fill="BFBFBF" w:themeFill="background1" w:themeFillShade="BF"/>
            <w:vAlign w:val="center"/>
          </w:tcPr>
          <w:p w14:paraId="7EF42681" w14:textId="77777777" w:rsidR="00CE626E" w:rsidRPr="00B068BD" w:rsidRDefault="00CE626E" w:rsidP="00326E4E">
            <w:pPr>
              <w:pStyle w:val="Default"/>
              <w:rPr>
                <w:rFonts w:ascii="Verdana" w:hAnsi="Verdana" w:cs="Calibri"/>
                <w:color w:val="211D1E"/>
                <w:sz w:val="22"/>
                <w:szCs w:val="22"/>
              </w:rPr>
            </w:pPr>
            <w:r>
              <w:rPr>
                <w:rFonts w:ascii="Verdana" w:hAnsi="Verdana" w:cs="Calibri"/>
                <w:color w:val="211D1E"/>
                <w:sz w:val="22"/>
                <w:szCs w:val="22"/>
              </w:rPr>
              <w:t>Indicative content</w:t>
            </w:r>
          </w:p>
        </w:tc>
        <w:tc>
          <w:tcPr>
            <w:tcW w:w="851" w:type="dxa"/>
            <w:tcBorders>
              <w:top w:val="single" w:sz="4" w:space="0" w:color="211D1E"/>
              <w:left w:val="single" w:sz="4" w:space="0" w:color="211D1E"/>
              <w:bottom w:val="single" w:sz="4" w:space="0" w:color="211D1E"/>
              <w:right w:val="single" w:sz="4" w:space="0" w:color="211D1E"/>
            </w:tcBorders>
            <w:shd w:val="clear" w:color="auto" w:fill="BFBFBF" w:themeFill="background1" w:themeFillShade="BF"/>
            <w:vAlign w:val="center"/>
          </w:tcPr>
          <w:p w14:paraId="77762011" w14:textId="77777777" w:rsidR="00CE626E" w:rsidRPr="00B068BD" w:rsidRDefault="00CE626E" w:rsidP="00326E4E">
            <w:pPr>
              <w:pStyle w:val="Default"/>
              <w:rPr>
                <w:rFonts w:ascii="Verdana" w:hAnsi="Verdana" w:cs="Calibri"/>
                <w:color w:val="211D1E"/>
                <w:sz w:val="22"/>
                <w:szCs w:val="22"/>
              </w:rPr>
            </w:pPr>
            <w:r w:rsidRPr="00B068BD">
              <w:rPr>
                <w:rFonts w:ascii="Verdana" w:hAnsi="Verdana" w:cs="Calibri"/>
                <w:color w:val="211D1E"/>
                <w:sz w:val="22"/>
                <w:szCs w:val="22"/>
              </w:rPr>
              <w:t xml:space="preserve">Mark </w:t>
            </w:r>
          </w:p>
        </w:tc>
      </w:tr>
      <w:tr w:rsidR="00CE626E" w:rsidRPr="00B91B38" w14:paraId="165F3A70" w14:textId="77777777" w:rsidTr="00326E4E">
        <w:trPr>
          <w:trHeight w:val="1833"/>
          <w:jc w:val="center"/>
        </w:trPr>
        <w:tc>
          <w:tcPr>
            <w:tcW w:w="1271" w:type="dxa"/>
            <w:tcBorders>
              <w:top w:val="single" w:sz="4" w:space="0" w:color="211D1E"/>
              <w:left w:val="single" w:sz="4" w:space="0" w:color="211D1E"/>
              <w:bottom w:val="single" w:sz="4" w:space="0" w:color="211D1E"/>
              <w:right w:val="single" w:sz="4" w:space="0" w:color="211D1E"/>
            </w:tcBorders>
          </w:tcPr>
          <w:p w14:paraId="1D2AF68B" w14:textId="77777777" w:rsidR="00CE626E" w:rsidRPr="00B068BD" w:rsidRDefault="00CE626E" w:rsidP="00326E4E">
            <w:pPr>
              <w:pStyle w:val="Default"/>
              <w:rPr>
                <w:rFonts w:ascii="Verdana" w:hAnsi="Verdana" w:cs="Calibri"/>
                <w:b/>
                <w:color w:val="auto"/>
                <w:sz w:val="22"/>
                <w:szCs w:val="22"/>
              </w:rPr>
            </w:pPr>
            <w:r>
              <w:rPr>
                <w:rFonts w:ascii="Verdana" w:hAnsi="Verdana" w:cs="Calibri"/>
                <w:b/>
                <w:color w:val="auto"/>
                <w:sz w:val="22"/>
                <w:szCs w:val="22"/>
              </w:rPr>
              <w:t>3</w:t>
            </w:r>
          </w:p>
        </w:tc>
        <w:tc>
          <w:tcPr>
            <w:tcW w:w="7776" w:type="dxa"/>
            <w:tcBorders>
              <w:top w:val="single" w:sz="4" w:space="0" w:color="211D1E"/>
              <w:left w:val="single" w:sz="4" w:space="0" w:color="211D1E"/>
              <w:bottom w:val="single" w:sz="4" w:space="0" w:color="211D1E"/>
              <w:right w:val="single" w:sz="4" w:space="0" w:color="211D1E"/>
            </w:tcBorders>
          </w:tcPr>
          <w:p w14:paraId="1440F496" w14:textId="77777777" w:rsidR="00CE626E" w:rsidRDefault="00CE626E" w:rsidP="00326E4E">
            <w:pPr>
              <w:jc w:val="center"/>
              <w:rPr>
                <w:rFonts w:ascii="Verdana" w:hAnsi="Verdana"/>
                <w:b/>
              </w:rPr>
            </w:pPr>
            <w:r w:rsidRPr="004F2566">
              <w:rPr>
                <w:rFonts w:ascii="Verdana" w:hAnsi="Verdana"/>
                <w:b/>
              </w:rPr>
              <w:t>Knowledge 4, Application 4, Analysis 6, Evaluation 6</w:t>
            </w:r>
          </w:p>
          <w:p w14:paraId="1AF3D9EA" w14:textId="77777777" w:rsidR="00CE626E" w:rsidRDefault="00CE626E" w:rsidP="00326E4E">
            <w:pPr>
              <w:spacing w:after="0" w:line="240" w:lineRule="auto"/>
              <w:jc w:val="both"/>
              <w:rPr>
                <w:rFonts w:ascii="Verdana" w:hAnsi="Verdana"/>
                <w:b/>
              </w:rPr>
            </w:pPr>
            <w:r>
              <w:rPr>
                <w:rFonts w:ascii="Verdana" w:hAnsi="Verdana"/>
                <w:b/>
              </w:rPr>
              <w:t>Indicative content</w:t>
            </w:r>
          </w:p>
          <w:p w14:paraId="17FB9B0F" w14:textId="77777777" w:rsidR="00CE626E" w:rsidRPr="008E516C" w:rsidRDefault="00CE626E" w:rsidP="00CE626E">
            <w:pPr>
              <w:pStyle w:val="ListParagraph"/>
              <w:numPr>
                <w:ilvl w:val="0"/>
                <w:numId w:val="14"/>
              </w:numPr>
              <w:spacing w:after="200" w:line="276" w:lineRule="auto"/>
              <w:rPr>
                <w:rFonts w:ascii="Verdana" w:hAnsi="Verdana"/>
                <w:b/>
              </w:rPr>
            </w:pPr>
            <w:r>
              <w:rPr>
                <w:rFonts w:ascii="Verdana" w:hAnsi="Verdana"/>
              </w:rPr>
              <w:t>Corporate objective is a goal that a business strives to achieve in order to meet its long term aim.</w:t>
            </w:r>
          </w:p>
          <w:p w14:paraId="2A785901" w14:textId="77777777" w:rsidR="00CE626E" w:rsidRPr="008E516C" w:rsidRDefault="00CE626E" w:rsidP="00326E4E">
            <w:pPr>
              <w:pStyle w:val="ListParagraph"/>
              <w:jc w:val="both"/>
              <w:rPr>
                <w:rFonts w:ascii="Verdana" w:hAnsi="Verdana"/>
                <w:b/>
              </w:rPr>
            </w:pPr>
          </w:p>
          <w:p w14:paraId="65FB4AEF" w14:textId="77777777" w:rsidR="00CE626E" w:rsidRDefault="00CE626E" w:rsidP="00326E4E">
            <w:pPr>
              <w:spacing w:after="0" w:line="240" w:lineRule="auto"/>
              <w:jc w:val="both"/>
              <w:rPr>
                <w:rFonts w:ascii="Verdana" w:hAnsi="Verdana"/>
                <w:b/>
              </w:rPr>
            </w:pPr>
            <w:r>
              <w:rPr>
                <w:rFonts w:ascii="Verdana" w:hAnsi="Verdana"/>
                <w:b/>
              </w:rPr>
              <w:t>New range of contact lenses – arguments for:</w:t>
            </w:r>
          </w:p>
          <w:p w14:paraId="7476AF47" w14:textId="77777777" w:rsidR="00CE626E" w:rsidRDefault="00CE626E" w:rsidP="00CE626E">
            <w:pPr>
              <w:pStyle w:val="ListParagraph"/>
              <w:numPr>
                <w:ilvl w:val="0"/>
                <w:numId w:val="13"/>
              </w:numPr>
              <w:spacing w:after="200" w:line="276" w:lineRule="auto"/>
              <w:ind w:right="431"/>
              <w:rPr>
                <w:rFonts w:ascii="Verdana" w:hAnsi="Verdana"/>
              </w:rPr>
            </w:pPr>
            <w:r>
              <w:rPr>
                <w:rFonts w:ascii="Verdana" w:hAnsi="Verdana"/>
              </w:rPr>
              <w:t>Warby Parker already have a good reputation for selling glasses at low prices – this may enable them to persuade customers to also buy contact lenses</w:t>
            </w:r>
          </w:p>
          <w:p w14:paraId="082F2BAF" w14:textId="77777777" w:rsidR="00CE626E" w:rsidRPr="008277D7" w:rsidRDefault="00CE626E" w:rsidP="00CE626E">
            <w:pPr>
              <w:pStyle w:val="ListParagraph"/>
              <w:numPr>
                <w:ilvl w:val="0"/>
                <w:numId w:val="13"/>
              </w:numPr>
              <w:spacing w:after="200" w:line="276" w:lineRule="auto"/>
              <w:ind w:right="431"/>
              <w:rPr>
                <w:rFonts w:ascii="Verdana" w:hAnsi="Verdana"/>
              </w:rPr>
            </w:pPr>
            <w:r>
              <w:rPr>
                <w:rFonts w:ascii="Verdana" w:hAnsi="Verdana"/>
              </w:rPr>
              <w:t>Ansoff would classify this option as product development – it may enable Warby Parker to target new customers</w:t>
            </w:r>
          </w:p>
          <w:p w14:paraId="14AB99D7" w14:textId="77777777" w:rsidR="00CE626E" w:rsidRDefault="00CE626E" w:rsidP="00CE626E">
            <w:pPr>
              <w:pStyle w:val="ListParagraph"/>
              <w:numPr>
                <w:ilvl w:val="0"/>
                <w:numId w:val="13"/>
              </w:numPr>
              <w:spacing w:after="200" w:line="276" w:lineRule="auto"/>
              <w:ind w:right="431"/>
              <w:rPr>
                <w:rFonts w:ascii="Verdana" w:hAnsi="Verdana"/>
              </w:rPr>
            </w:pPr>
            <w:r>
              <w:rPr>
                <w:rFonts w:ascii="Verdana" w:hAnsi="Verdana"/>
              </w:rPr>
              <w:t>Innovation in a new optical product, such as contact lenses, may be a source of distinctive capability and as a result may enhance its appeal/reputation amongst high income customers</w:t>
            </w:r>
          </w:p>
          <w:p w14:paraId="1639889A" w14:textId="77777777" w:rsidR="00CE626E" w:rsidRDefault="00CE626E" w:rsidP="00326E4E">
            <w:pPr>
              <w:spacing w:after="0" w:line="240" w:lineRule="auto"/>
              <w:ind w:right="431"/>
              <w:rPr>
                <w:rFonts w:ascii="Verdana" w:hAnsi="Verdana"/>
                <w:b/>
              </w:rPr>
            </w:pPr>
            <w:r>
              <w:rPr>
                <w:rFonts w:ascii="Verdana" w:hAnsi="Verdana"/>
                <w:b/>
              </w:rPr>
              <w:t>Sell glasses in the low income market – arguments for:</w:t>
            </w:r>
          </w:p>
          <w:p w14:paraId="383A37F7" w14:textId="77777777" w:rsidR="00CE626E" w:rsidRPr="004A3DC1" w:rsidRDefault="00CE626E" w:rsidP="00CE626E">
            <w:pPr>
              <w:pStyle w:val="ListParagraph"/>
              <w:numPr>
                <w:ilvl w:val="0"/>
                <w:numId w:val="16"/>
              </w:numPr>
              <w:spacing w:after="200" w:line="276" w:lineRule="auto"/>
              <w:ind w:right="431"/>
              <w:rPr>
                <w:rFonts w:ascii="Verdana" w:hAnsi="Verdana"/>
                <w:b/>
              </w:rPr>
            </w:pPr>
            <w:r>
              <w:rPr>
                <w:rFonts w:ascii="Verdana" w:hAnsi="Verdana"/>
              </w:rPr>
              <w:t>Warby Parker already has a distinctive capability as a result of its association with Sightsavers plus the fact that it designs its own glasses</w:t>
            </w:r>
          </w:p>
          <w:p w14:paraId="2C81C52A" w14:textId="77777777" w:rsidR="00CE626E" w:rsidRPr="004A3DC1" w:rsidRDefault="00CE626E" w:rsidP="00CE626E">
            <w:pPr>
              <w:pStyle w:val="ListParagraph"/>
              <w:numPr>
                <w:ilvl w:val="0"/>
                <w:numId w:val="16"/>
              </w:numPr>
              <w:spacing w:after="200" w:line="276" w:lineRule="auto"/>
              <w:ind w:right="431"/>
              <w:rPr>
                <w:rFonts w:ascii="Verdana" w:hAnsi="Verdana"/>
                <w:b/>
              </w:rPr>
            </w:pPr>
            <w:r>
              <w:rPr>
                <w:rFonts w:ascii="Verdana" w:hAnsi="Verdana"/>
              </w:rPr>
              <w:t>The low income market has a size by volume of 4 billion people which therefore means more volume of sales potential. Ansoff would classify this option as market development</w:t>
            </w:r>
          </w:p>
          <w:p w14:paraId="0975AC36" w14:textId="77777777" w:rsidR="00CE626E" w:rsidRPr="004A3DC1" w:rsidRDefault="00CE626E" w:rsidP="00CE626E">
            <w:pPr>
              <w:pStyle w:val="ListParagraph"/>
              <w:numPr>
                <w:ilvl w:val="0"/>
                <w:numId w:val="16"/>
              </w:numPr>
              <w:spacing w:after="200" w:line="276" w:lineRule="auto"/>
              <w:ind w:right="431"/>
              <w:rPr>
                <w:rFonts w:ascii="Verdana" w:hAnsi="Verdana"/>
                <w:b/>
              </w:rPr>
            </w:pPr>
            <w:r>
              <w:rPr>
                <w:rFonts w:ascii="Verdana" w:hAnsi="Verdana"/>
              </w:rPr>
              <w:t xml:space="preserve">Warby Parker’s approach could be very suitable for the low income market because of its low prices and online availability </w:t>
            </w:r>
          </w:p>
          <w:p w14:paraId="025C3FD4" w14:textId="77777777" w:rsidR="00CE626E" w:rsidRPr="00176B49" w:rsidRDefault="00CE626E" w:rsidP="00326E4E">
            <w:pPr>
              <w:spacing w:after="0"/>
              <w:ind w:right="431"/>
              <w:rPr>
                <w:rFonts w:ascii="Verdana" w:hAnsi="Verdana"/>
                <w:i/>
              </w:rPr>
            </w:pPr>
            <w:r w:rsidRPr="00176B49">
              <w:rPr>
                <w:rFonts w:ascii="Verdana" w:hAnsi="Verdana"/>
                <w:i/>
              </w:rPr>
              <w:t>Possible recommendations</w:t>
            </w:r>
          </w:p>
          <w:p w14:paraId="280961F0" w14:textId="77777777" w:rsidR="00CE626E" w:rsidRPr="007E26B6" w:rsidRDefault="00CE626E" w:rsidP="00CE626E">
            <w:pPr>
              <w:pStyle w:val="ListParagraph"/>
              <w:numPr>
                <w:ilvl w:val="0"/>
                <w:numId w:val="15"/>
              </w:numPr>
              <w:spacing w:after="0" w:line="276" w:lineRule="auto"/>
              <w:ind w:right="431"/>
              <w:rPr>
                <w:rFonts w:ascii="Verdana" w:hAnsi="Verdana"/>
              </w:rPr>
            </w:pPr>
            <w:r>
              <w:rPr>
                <w:rFonts w:ascii="Verdana" w:hAnsi="Verdana"/>
              </w:rPr>
              <w:t>The contact lens option could lead to a higher growth rate because Warby Parker has a trusted reputation for selling high quality products at a low price online, which it could apply to existing as well as new customers in the high income market</w:t>
            </w:r>
          </w:p>
          <w:p w14:paraId="0AFEF754" w14:textId="77777777" w:rsidR="00CE626E" w:rsidRPr="007413F4" w:rsidRDefault="00CE626E" w:rsidP="00CE626E">
            <w:pPr>
              <w:pStyle w:val="ListParagraph"/>
              <w:numPr>
                <w:ilvl w:val="0"/>
                <w:numId w:val="15"/>
              </w:numPr>
              <w:spacing w:after="0" w:line="276" w:lineRule="auto"/>
              <w:ind w:right="431"/>
              <w:rPr>
                <w:rFonts w:ascii="Verdana" w:hAnsi="Verdana"/>
              </w:rPr>
            </w:pPr>
            <w:r>
              <w:rPr>
                <w:rFonts w:ascii="Verdana" w:hAnsi="Verdana"/>
              </w:rPr>
              <w:t>The low income market could lead to a higher growth rate because it enables Warby Parker to target a market of 4 billion people that is currently not served by other large optical businesses. Selling online may be more accessible to customers in this market However VisionSpring are already well established in this market</w:t>
            </w:r>
          </w:p>
        </w:tc>
        <w:tc>
          <w:tcPr>
            <w:tcW w:w="851" w:type="dxa"/>
            <w:tcBorders>
              <w:top w:val="single" w:sz="4" w:space="0" w:color="211D1E"/>
              <w:left w:val="single" w:sz="4" w:space="0" w:color="211D1E"/>
              <w:bottom w:val="single" w:sz="4" w:space="0" w:color="211D1E"/>
              <w:right w:val="single" w:sz="4" w:space="0" w:color="211D1E"/>
            </w:tcBorders>
            <w:vAlign w:val="center"/>
          </w:tcPr>
          <w:p w14:paraId="72631267" w14:textId="77777777" w:rsidR="00CE626E" w:rsidRDefault="00CE626E" w:rsidP="00326E4E">
            <w:pPr>
              <w:pStyle w:val="Default"/>
              <w:rPr>
                <w:rFonts w:ascii="Verdana" w:hAnsi="Verdana" w:cs="Calibri"/>
                <w:color w:val="211D1E"/>
                <w:sz w:val="22"/>
                <w:szCs w:val="22"/>
              </w:rPr>
            </w:pPr>
          </w:p>
          <w:p w14:paraId="5DC5DECB" w14:textId="77777777" w:rsidR="00CE626E" w:rsidRPr="00B91B38" w:rsidRDefault="00CE626E" w:rsidP="00326E4E"/>
          <w:p w14:paraId="0B0108D0" w14:textId="77777777" w:rsidR="00CE626E" w:rsidRDefault="00CE626E" w:rsidP="00326E4E"/>
          <w:p w14:paraId="41BBB8BA" w14:textId="77777777" w:rsidR="00CE626E" w:rsidRDefault="00CE626E" w:rsidP="00326E4E"/>
          <w:p w14:paraId="59AA9501" w14:textId="77777777" w:rsidR="00CE626E" w:rsidRDefault="00CE626E" w:rsidP="00326E4E">
            <w:pPr>
              <w:rPr>
                <w:rFonts w:ascii="Verdana" w:hAnsi="Verdana"/>
                <w:b/>
              </w:rPr>
            </w:pPr>
          </w:p>
          <w:p w14:paraId="0023349D" w14:textId="77777777" w:rsidR="00CE626E" w:rsidRDefault="00CE626E" w:rsidP="00326E4E">
            <w:pPr>
              <w:rPr>
                <w:rFonts w:ascii="Verdana" w:hAnsi="Verdana"/>
                <w:b/>
              </w:rPr>
            </w:pPr>
          </w:p>
          <w:p w14:paraId="61A61811" w14:textId="77777777" w:rsidR="00CE626E" w:rsidRDefault="00CE626E" w:rsidP="00326E4E">
            <w:pPr>
              <w:rPr>
                <w:rFonts w:ascii="Verdana" w:hAnsi="Verdana"/>
                <w:b/>
              </w:rPr>
            </w:pPr>
          </w:p>
          <w:p w14:paraId="3BF62463" w14:textId="77777777" w:rsidR="00CE626E" w:rsidRDefault="00CE626E" w:rsidP="00326E4E">
            <w:pPr>
              <w:rPr>
                <w:rFonts w:ascii="Verdana" w:hAnsi="Verdana"/>
                <w:b/>
              </w:rPr>
            </w:pPr>
          </w:p>
          <w:p w14:paraId="6CDEB484" w14:textId="77777777" w:rsidR="00CE626E" w:rsidRDefault="00CE626E" w:rsidP="00326E4E">
            <w:pPr>
              <w:rPr>
                <w:rFonts w:ascii="Verdana" w:hAnsi="Verdana"/>
                <w:b/>
              </w:rPr>
            </w:pPr>
          </w:p>
          <w:p w14:paraId="36C021E4" w14:textId="77777777" w:rsidR="00CE626E" w:rsidRDefault="00CE626E" w:rsidP="00326E4E">
            <w:pPr>
              <w:rPr>
                <w:rFonts w:ascii="Verdana" w:hAnsi="Verdana"/>
                <w:b/>
              </w:rPr>
            </w:pPr>
          </w:p>
          <w:p w14:paraId="03E0FE13" w14:textId="77777777" w:rsidR="00CE626E" w:rsidRDefault="00CE626E" w:rsidP="00326E4E">
            <w:pPr>
              <w:rPr>
                <w:rFonts w:ascii="Verdana" w:hAnsi="Verdana"/>
                <w:b/>
              </w:rPr>
            </w:pPr>
          </w:p>
          <w:p w14:paraId="697FD500" w14:textId="77777777" w:rsidR="00CE626E" w:rsidRDefault="00CE626E" w:rsidP="00326E4E">
            <w:pPr>
              <w:rPr>
                <w:rFonts w:ascii="Verdana" w:hAnsi="Verdana"/>
                <w:b/>
              </w:rPr>
            </w:pPr>
          </w:p>
          <w:p w14:paraId="681B4062" w14:textId="77777777" w:rsidR="00CE626E" w:rsidRDefault="00CE626E" w:rsidP="00326E4E">
            <w:pPr>
              <w:rPr>
                <w:rFonts w:ascii="Verdana" w:hAnsi="Verdana"/>
                <w:b/>
              </w:rPr>
            </w:pPr>
          </w:p>
          <w:p w14:paraId="7881D234" w14:textId="77777777" w:rsidR="00CE626E" w:rsidRDefault="00CE626E" w:rsidP="00326E4E">
            <w:pPr>
              <w:rPr>
                <w:rFonts w:ascii="Verdana" w:hAnsi="Verdana"/>
                <w:b/>
              </w:rPr>
            </w:pPr>
          </w:p>
          <w:p w14:paraId="276A1698" w14:textId="77777777" w:rsidR="00CE626E" w:rsidRDefault="00CE626E" w:rsidP="00326E4E">
            <w:pPr>
              <w:rPr>
                <w:rFonts w:ascii="Verdana" w:hAnsi="Verdana"/>
                <w:b/>
              </w:rPr>
            </w:pPr>
          </w:p>
          <w:p w14:paraId="2BF188E1" w14:textId="77777777" w:rsidR="00CE626E" w:rsidRDefault="00CE626E" w:rsidP="00326E4E">
            <w:pPr>
              <w:rPr>
                <w:rFonts w:ascii="Verdana" w:hAnsi="Verdana"/>
                <w:b/>
              </w:rPr>
            </w:pPr>
          </w:p>
          <w:p w14:paraId="6C1CFA66" w14:textId="77777777" w:rsidR="00CE626E" w:rsidRDefault="00CE626E" w:rsidP="00326E4E">
            <w:pPr>
              <w:rPr>
                <w:rFonts w:ascii="Verdana" w:hAnsi="Verdana"/>
                <w:b/>
              </w:rPr>
            </w:pPr>
          </w:p>
          <w:p w14:paraId="2EBF1304" w14:textId="77777777" w:rsidR="00CE626E" w:rsidRDefault="00CE626E" w:rsidP="00326E4E">
            <w:pPr>
              <w:rPr>
                <w:rFonts w:ascii="Verdana" w:hAnsi="Verdana"/>
                <w:b/>
              </w:rPr>
            </w:pPr>
          </w:p>
          <w:p w14:paraId="734952F2" w14:textId="77777777" w:rsidR="00CE626E" w:rsidRDefault="00CE626E" w:rsidP="00326E4E">
            <w:pPr>
              <w:rPr>
                <w:rFonts w:ascii="Verdana" w:hAnsi="Verdana"/>
                <w:b/>
              </w:rPr>
            </w:pPr>
          </w:p>
          <w:p w14:paraId="5F000D97" w14:textId="77777777" w:rsidR="00CE626E" w:rsidRDefault="00CE626E" w:rsidP="00326E4E">
            <w:pPr>
              <w:rPr>
                <w:rFonts w:ascii="Verdana" w:hAnsi="Verdana"/>
                <w:b/>
              </w:rPr>
            </w:pPr>
          </w:p>
          <w:p w14:paraId="2016477A" w14:textId="77777777" w:rsidR="00CE626E" w:rsidRDefault="00CE626E" w:rsidP="00326E4E">
            <w:pPr>
              <w:rPr>
                <w:rFonts w:ascii="Verdana" w:hAnsi="Verdana"/>
                <w:b/>
              </w:rPr>
            </w:pPr>
          </w:p>
          <w:p w14:paraId="11C0E332" w14:textId="77777777" w:rsidR="00CE626E" w:rsidRDefault="00CE626E" w:rsidP="00326E4E">
            <w:pPr>
              <w:rPr>
                <w:rFonts w:ascii="Verdana" w:hAnsi="Verdana"/>
                <w:b/>
              </w:rPr>
            </w:pPr>
          </w:p>
          <w:p w14:paraId="2FD8C0C5" w14:textId="3EC5EBEA" w:rsidR="00CE626E" w:rsidRDefault="00CE626E" w:rsidP="00326E4E">
            <w:pPr>
              <w:rPr>
                <w:rFonts w:ascii="Verdana" w:hAnsi="Verdana"/>
                <w:b/>
              </w:rPr>
            </w:pPr>
          </w:p>
          <w:p w14:paraId="49F839F6" w14:textId="52D476EC" w:rsidR="00CE626E" w:rsidRDefault="00CE626E" w:rsidP="00326E4E">
            <w:pPr>
              <w:rPr>
                <w:rFonts w:ascii="Verdana" w:hAnsi="Verdana"/>
                <w:b/>
              </w:rPr>
            </w:pPr>
          </w:p>
          <w:p w14:paraId="3BE30C6F" w14:textId="1060C9DB" w:rsidR="00CE626E" w:rsidRDefault="00CE626E" w:rsidP="00326E4E">
            <w:pPr>
              <w:rPr>
                <w:rFonts w:ascii="Verdana" w:hAnsi="Verdana"/>
                <w:b/>
              </w:rPr>
            </w:pPr>
          </w:p>
          <w:p w14:paraId="6C2C8DA1" w14:textId="77777777" w:rsidR="00CE626E" w:rsidRDefault="00CE626E" w:rsidP="00326E4E">
            <w:pPr>
              <w:rPr>
                <w:rFonts w:ascii="Verdana" w:hAnsi="Verdana"/>
                <w:b/>
              </w:rPr>
            </w:pPr>
          </w:p>
          <w:p w14:paraId="2968039C" w14:textId="77777777" w:rsidR="00CE626E" w:rsidRPr="00B91B38" w:rsidRDefault="00CE626E" w:rsidP="00326E4E">
            <w:pPr>
              <w:rPr>
                <w:rFonts w:ascii="Verdana" w:hAnsi="Verdana"/>
                <w:b/>
              </w:rPr>
            </w:pPr>
            <w:r w:rsidRPr="00B91B38">
              <w:rPr>
                <w:rFonts w:ascii="Verdana" w:hAnsi="Verdana"/>
                <w:b/>
              </w:rPr>
              <w:t>(</w:t>
            </w:r>
            <w:r>
              <w:rPr>
                <w:rFonts w:ascii="Verdana" w:hAnsi="Verdana"/>
                <w:b/>
              </w:rPr>
              <w:t>20</w:t>
            </w:r>
            <w:r w:rsidRPr="00B91B38">
              <w:rPr>
                <w:rFonts w:ascii="Verdana" w:hAnsi="Verdana"/>
                <w:b/>
              </w:rPr>
              <w:t>)</w:t>
            </w:r>
          </w:p>
        </w:tc>
      </w:tr>
    </w:tbl>
    <w:p w14:paraId="5E518818" w14:textId="77777777" w:rsidR="00CE626E" w:rsidRDefault="00CE626E" w:rsidP="00CE626E"/>
    <w:p w14:paraId="78DEDD67" w14:textId="77777777" w:rsidR="00CE626E" w:rsidRDefault="00CE626E" w:rsidP="00CE626E"/>
    <w:p w14:paraId="18E0ACB6" w14:textId="77777777" w:rsidR="00CE626E" w:rsidRDefault="00CE626E" w:rsidP="00CE626E">
      <w:pPr>
        <w:rPr>
          <w:rFonts w:ascii="Verdana" w:hAnsi="Verdana" w:cs="Arial"/>
          <w:color w:val="404040"/>
        </w:rPr>
      </w:pPr>
      <w:r w:rsidRPr="00C523D1">
        <w:rPr>
          <w:rFonts w:ascii="Verdana" w:hAnsi="Verdana" w:cs="Arial"/>
          <w:b/>
          <w:color w:val="404040"/>
        </w:rPr>
        <w:lastRenderedPageBreak/>
        <w:t>Market</w:t>
      </w:r>
      <w:r>
        <w:rPr>
          <w:rFonts w:ascii="Verdana" w:hAnsi="Verdana" w:cs="Arial"/>
          <w:color w:val="404040"/>
        </w:rPr>
        <w:t xml:space="preserve"> – the market for glasses is divided into high income (high profit margin, low volume) and low income (low profit margin, high volume)</w:t>
      </w:r>
    </w:p>
    <w:p w14:paraId="7E4E71FE" w14:textId="77777777" w:rsidR="00CE626E" w:rsidRDefault="00CE626E" w:rsidP="00CE626E">
      <w:pPr>
        <w:rPr>
          <w:rFonts w:ascii="Verdana" w:hAnsi="Verdana" w:cs="Arial"/>
          <w:color w:val="404040"/>
        </w:rPr>
      </w:pPr>
      <w:r>
        <w:rPr>
          <w:rFonts w:ascii="Verdana" w:hAnsi="Verdana" w:cs="Arial"/>
          <w:b/>
          <w:color w:val="404040"/>
        </w:rPr>
        <w:t xml:space="preserve">Objectives – </w:t>
      </w:r>
      <w:r>
        <w:rPr>
          <w:rFonts w:ascii="Verdana" w:hAnsi="Verdana" w:cs="Arial"/>
          <w:color w:val="404040"/>
        </w:rPr>
        <w:t>Warby Parker’s main objective is to grow the business</w:t>
      </w:r>
    </w:p>
    <w:p w14:paraId="2278201A" w14:textId="77777777" w:rsidR="00CE626E" w:rsidRDefault="00CE626E" w:rsidP="00CE626E">
      <w:pPr>
        <w:rPr>
          <w:rFonts w:ascii="Verdana" w:hAnsi="Verdana" w:cs="Arial"/>
          <w:color w:val="404040"/>
        </w:rPr>
      </w:pPr>
      <w:r>
        <w:rPr>
          <w:rFonts w:ascii="Verdana" w:hAnsi="Verdana" w:cs="Arial"/>
          <w:b/>
          <w:color w:val="404040"/>
        </w:rPr>
        <w:t xml:space="preserve">Product – </w:t>
      </w:r>
      <w:r>
        <w:rPr>
          <w:rFonts w:ascii="Verdana" w:hAnsi="Verdana" w:cs="Arial"/>
          <w:color w:val="404040"/>
        </w:rPr>
        <w:t>Warby Parker  has a USP  of offering low priced designer glasses that can be ordered online as well as promoting itself as an ethical business</w:t>
      </w:r>
    </w:p>
    <w:p w14:paraId="75743E9D" w14:textId="77777777" w:rsidR="00CE626E" w:rsidRDefault="00CE626E" w:rsidP="00CE626E">
      <w:pPr>
        <w:rPr>
          <w:rFonts w:ascii="Verdana" w:hAnsi="Verdana" w:cs="Arial"/>
          <w:color w:val="404040"/>
        </w:rPr>
      </w:pPr>
      <w:r>
        <w:rPr>
          <w:rFonts w:ascii="Verdana" w:hAnsi="Verdana" w:cs="Arial"/>
          <w:b/>
          <w:color w:val="404040"/>
        </w:rPr>
        <w:t xml:space="preserve">Situation – </w:t>
      </w:r>
      <w:r>
        <w:rPr>
          <w:rFonts w:ascii="Verdana" w:hAnsi="Verdana" w:cs="Arial"/>
          <w:color w:val="404040"/>
        </w:rPr>
        <w:t>Warby Parker has spotted and exploited successfully a niche in the market. It has developed a good reputation in the high income market</w:t>
      </w:r>
    </w:p>
    <w:p w14:paraId="0792FD95" w14:textId="77777777" w:rsidR="00CE626E" w:rsidRDefault="00CE626E" w:rsidP="00CE626E">
      <w:pPr>
        <w:rPr>
          <w:rFonts w:ascii="Verdana" w:hAnsi="Verdana" w:cs="Arial"/>
          <w:color w:val="404040"/>
        </w:rPr>
      </w:pPr>
    </w:p>
    <w:p w14:paraId="2D16EA03" w14:textId="77777777" w:rsidR="00CE626E" w:rsidRDefault="00CE626E" w:rsidP="00CE626E">
      <w:pPr>
        <w:rPr>
          <w:rFonts w:ascii="Verdana" w:hAnsi="Verdana" w:cs="Arial"/>
          <w:color w:val="404040"/>
        </w:rPr>
      </w:pPr>
    </w:p>
    <w:p w14:paraId="631C475C" w14:textId="77777777" w:rsidR="00CE626E" w:rsidRDefault="00CE626E" w:rsidP="00CE626E">
      <w:pPr>
        <w:rPr>
          <w:rFonts w:ascii="Verdana" w:hAnsi="Verdana" w:cs="Arial"/>
          <w:color w:val="404040"/>
        </w:rPr>
      </w:pPr>
    </w:p>
    <w:p w14:paraId="4EEA7F32" w14:textId="77777777" w:rsidR="00CE626E" w:rsidRDefault="00CE626E" w:rsidP="00CE626E">
      <w:pPr>
        <w:rPr>
          <w:rFonts w:ascii="Verdana" w:hAnsi="Verdana" w:cs="Arial"/>
          <w:color w:val="404040"/>
        </w:rPr>
      </w:pPr>
    </w:p>
    <w:p w14:paraId="151E74C9" w14:textId="77777777" w:rsidR="00CE626E" w:rsidRDefault="00CE626E" w:rsidP="00CE626E">
      <w:pPr>
        <w:rPr>
          <w:rFonts w:ascii="Verdana" w:hAnsi="Verdana" w:cs="Arial"/>
          <w:color w:val="404040"/>
        </w:rPr>
      </w:pPr>
    </w:p>
    <w:p w14:paraId="4C7311C5" w14:textId="77777777" w:rsidR="00CE626E" w:rsidRDefault="00CE626E" w:rsidP="00CE626E">
      <w:pPr>
        <w:rPr>
          <w:rFonts w:ascii="Verdana" w:hAnsi="Verdana" w:cs="Arial"/>
          <w:color w:val="404040"/>
        </w:rPr>
      </w:pPr>
    </w:p>
    <w:p w14:paraId="757D88BB" w14:textId="77777777" w:rsidR="00CE626E" w:rsidRDefault="00CE626E" w:rsidP="00CE626E">
      <w:pPr>
        <w:rPr>
          <w:rFonts w:ascii="Verdana" w:hAnsi="Verdana" w:cs="Arial"/>
          <w:color w:val="404040"/>
        </w:rPr>
      </w:pPr>
    </w:p>
    <w:p w14:paraId="6BF369CA" w14:textId="77777777" w:rsidR="00CE626E" w:rsidRDefault="00CE626E" w:rsidP="00CE626E">
      <w:pPr>
        <w:rPr>
          <w:rFonts w:ascii="Verdana" w:hAnsi="Verdana" w:cs="Arial"/>
          <w:color w:val="404040"/>
        </w:rPr>
      </w:pPr>
    </w:p>
    <w:p w14:paraId="742E4DF6" w14:textId="77777777" w:rsidR="00CE626E" w:rsidRDefault="00CE626E" w:rsidP="00CE626E">
      <w:pPr>
        <w:rPr>
          <w:rFonts w:ascii="Verdana" w:hAnsi="Verdana" w:cs="Arial"/>
          <w:color w:val="404040"/>
        </w:rPr>
      </w:pPr>
    </w:p>
    <w:p w14:paraId="2F71BFA5" w14:textId="77777777" w:rsidR="00CE626E" w:rsidRDefault="00CE626E" w:rsidP="00CE626E">
      <w:pPr>
        <w:rPr>
          <w:rFonts w:ascii="Verdana" w:hAnsi="Verdana" w:cs="Arial"/>
          <w:color w:val="404040"/>
        </w:rPr>
      </w:pPr>
    </w:p>
    <w:p w14:paraId="39D1D85C" w14:textId="77777777" w:rsidR="00CE626E" w:rsidRDefault="00CE626E" w:rsidP="00CE626E">
      <w:pPr>
        <w:rPr>
          <w:rFonts w:ascii="Verdana" w:hAnsi="Verdana" w:cs="Arial"/>
          <w:color w:val="404040"/>
        </w:rPr>
      </w:pPr>
    </w:p>
    <w:p w14:paraId="42661CD6" w14:textId="77777777" w:rsidR="00CE626E" w:rsidRDefault="00CE626E" w:rsidP="00CE626E">
      <w:pPr>
        <w:rPr>
          <w:rFonts w:ascii="Verdana" w:hAnsi="Verdana" w:cs="Arial"/>
          <w:color w:val="404040"/>
        </w:rPr>
      </w:pPr>
    </w:p>
    <w:p w14:paraId="626D084B" w14:textId="77777777" w:rsidR="00CE626E" w:rsidRDefault="00CE626E" w:rsidP="00CE626E">
      <w:pPr>
        <w:rPr>
          <w:rFonts w:ascii="Verdana" w:hAnsi="Verdana" w:cs="Arial"/>
          <w:color w:val="404040"/>
        </w:rPr>
      </w:pPr>
    </w:p>
    <w:p w14:paraId="0BE41B30" w14:textId="77777777" w:rsidR="00CE626E" w:rsidRDefault="00CE626E" w:rsidP="00CE626E">
      <w:pPr>
        <w:rPr>
          <w:rFonts w:ascii="Verdana" w:hAnsi="Verdana" w:cs="Arial"/>
          <w:color w:val="404040"/>
        </w:rPr>
      </w:pPr>
    </w:p>
    <w:p w14:paraId="48F3B02B" w14:textId="77777777" w:rsidR="00CE626E" w:rsidRDefault="00CE626E" w:rsidP="00CE626E">
      <w:pPr>
        <w:rPr>
          <w:rFonts w:ascii="Verdana" w:hAnsi="Verdana" w:cs="Arial"/>
          <w:color w:val="404040"/>
        </w:rPr>
      </w:pPr>
    </w:p>
    <w:p w14:paraId="47BA3025" w14:textId="77777777" w:rsidR="00CE626E" w:rsidRDefault="00CE626E" w:rsidP="00CE626E">
      <w:pPr>
        <w:rPr>
          <w:rFonts w:ascii="Verdana" w:hAnsi="Verdana" w:cs="Arial"/>
          <w:color w:val="404040"/>
        </w:rPr>
      </w:pPr>
    </w:p>
    <w:p w14:paraId="4CD5E311" w14:textId="77777777" w:rsidR="00CE626E" w:rsidRDefault="00CE626E" w:rsidP="00CE626E">
      <w:pPr>
        <w:rPr>
          <w:rFonts w:ascii="Verdana" w:hAnsi="Verdana" w:cs="Arial"/>
          <w:color w:val="404040"/>
        </w:rPr>
      </w:pPr>
    </w:p>
    <w:p w14:paraId="4474E508" w14:textId="77777777" w:rsidR="00CE626E" w:rsidRDefault="00CE626E" w:rsidP="00CE626E">
      <w:pPr>
        <w:rPr>
          <w:rFonts w:ascii="Verdana" w:hAnsi="Verdana" w:cs="Arial"/>
          <w:color w:val="404040"/>
        </w:rPr>
      </w:pPr>
    </w:p>
    <w:p w14:paraId="53834649" w14:textId="77777777" w:rsidR="00CE626E" w:rsidRDefault="00CE626E" w:rsidP="00CE626E">
      <w:pPr>
        <w:rPr>
          <w:rFonts w:ascii="Verdana" w:hAnsi="Verdana" w:cs="Arial"/>
          <w:color w:val="404040"/>
        </w:rPr>
      </w:pPr>
    </w:p>
    <w:p w14:paraId="6E2C4B50" w14:textId="77777777" w:rsidR="00CE626E" w:rsidRDefault="00CE626E" w:rsidP="00CE626E">
      <w:pPr>
        <w:rPr>
          <w:rFonts w:ascii="Verdana" w:hAnsi="Verdana" w:cs="Arial"/>
          <w:color w:val="404040"/>
        </w:rPr>
      </w:pPr>
    </w:p>
    <w:p w14:paraId="34523260" w14:textId="77777777" w:rsidR="00CE626E" w:rsidRDefault="00CE626E" w:rsidP="00CE626E">
      <w:pPr>
        <w:rPr>
          <w:rFonts w:ascii="Verdana" w:hAnsi="Verdana" w:cs="Arial"/>
          <w:color w:val="404040"/>
        </w:rPr>
      </w:pPr>
    </w:p>
    <w:p w14:paraId="50635F85" w14:textId="77777777" w:rsidR="00CE626E" w:rsidRDefault="00CE626E" w:rsidP="00CE626E">
      <w:pPr>
        <w:rPr>
          <w:rFonts w:ascii="Verdana" w:hAnsi="Verdana" w:cs="Arial"/>
          <w:color w:val="404040"/>
        </w:rPr>
      </w:pPr>
    </w:p>
    <w:tbl>
      <w:tblPr>
        <w:tblpPr w:leftFromText="180" w:rightFromText="180" w:vertAnchor="text" w:horzAnchor="margin" w:tblpY="-752"/>
        <w:tblW w:w="10031" w:type="dxa"/>
        <w:tblLayout w:type="fixed"/>
        <w:tblLook w:val="0000" w:firstRow="0" w:lastRow="0" w:firstColumn="0" w:lastColumn="0" w:noHBand="0" w:noVBand="0"/>
      </w:tblPr>
      <w:tblGrid>
        <w:gridCol w:w="1242"/>
        <w:gridCol w:w="7956"/>
        <w:gridCol w:w="833"/>
      </w:tblGrid>
      <w:tr w:rsidR="00CE626E" w:rsidRPr="00AD0F39" w14:paraId="1DDE07AE" w14:textId="77777777" w:rsidTr="00326E4E">
        <w:trPr>
          <w:trHeight w:val="243"/>
        </w:trPr>
        <w:tc>
          <w:tcPr>
            <w:tcW w:w="1242" w:type="dxa"/>
            <w:tcBorders>
              <w:top w:val="single" w:sz="4" w:space="0" w:color="211D1E"/>
              <w:left w:val="single" w:sz="4" w:space="0" w:color="211D1E"/>
              <w:bottom w:val="single" w:sz="4" w:space="0" w:color="211D1E"/>
              <w:right w:val="single" w:sz="4" w:space="0" w:color="211D1E"/>
            </w:tcBorders>
            <w:shd w:val="clear" w:color="auto" w:fill="BFBFBF" w:themeFill="background1" w:themeFillShade="BF"/>
          </w:tcPr>
          <w:p w14:paraId="0F545892" w14:textId="77777777" w:rsidR="00CE626E" w:rsidRPr="003C4B7B" w:rsidRDefault="00CE626E" w:rsidP="00326E4E">
            <w:pPr>
              <w:pStyle w:val="Default"/>
              <w:rPr>
                <w:rFonts w:ascii="Verdana" w:hAnsi="Verdana" w:cs="Open Sans"/>
                <w:color w:val="auto"/>
                <w:sz w:val="22"/>
                <w:szCs w:val="22"/>
              </w:rPr>
            </w:pPr>
            <w:r w:rsidRPr="003C4B7B">
              <w:rPr>
                <w:rFonts w:ascii="Verdana" w:hAnsi="Verdana" w:cs="Open Sans"/>
                <w:color w:val="auto"/>
                <w:sz w:val="22"/>
                <w:szCs w:val="22"/>
              </w:rPr>
              <w:lastRenderedPageBreak/>
              <w:t>Question Number</w:t>
            </w:r>
          </w:p>
        </w:tc>
        <w:tc>
          <w:tcPr>
            <w:tcW w:w="7956" w:type="dxa"/>
            <w:tcBorders>
              <w:top w:val="single" w:sz="4" w:space="0" w:color="211D1E"/>
              <w:left w:val="single" w:sz="4" w:space="0" w:color="211D1E"/>
              <w:bottom w:val="single" w:sz="4" w:space="0" w:color="211D1E"/>
              <w:right w:val="single" w:sz="4" w:space="0" w:color="211D1E"/>
            </w:tcBorders>
            <w:shd w:val="clear" w:color="auto" w:fill="BFBFBF" w:themeFill="background1" w:themeFillShade="BF"/>
            <w:vAlign w:val="center"/>
          </w:tcPr>
          <w:p w14:paraId="31D6980E" w14:textId="77777777" w:rsidR="00CE626E" w:rsidRPr="003C4B7B" w:rsidRDefault="00CE626E" w:rsidP="00326E4E">
            <w:pPr>
              <w:pStyle w:val="Default"/>
              <w:rPr>
                <w:rFonts w:ascii="Verdana" w:hAnsi="Verdana" w:cs="Open Sans"/>
                <w:color w:val="211D1E"/>
                <w:sz w:val="22"/>
                <w:szCs w:val="22"/>
              </w:rPr>
            </w:pPr>
            <w:r w:rsidRPr="003C4B7B">
              <w:rPr>
                <w:rFonts w:ascii="Verdana" w:hAnsi="Verdana" w:cs="Open Sans"/>
                <w:color w:val="211D1E"/>
                <w:sz w:val="22"/>
                <w:szCs w:val="22"/>
              </w:rPr>
              <w:t>Answer</w:t>
            </w:r>
          </w:p>
        </w:tc>
        <w:tc>
          <w:tcPr>
            <w:tcW w:w="833" w:type="dxa"/>
            <w:tcBorders>
              <w:top w:val="single" w:sz="4" w:space="0" w:color="211D1E"/>
              <w:left w:val="single" w:sz="4" w:space="0" w:color="211D1E"/>
              <w:bottom w:val="single" w:sz="4" w:space="0" w:color="211D1E"/>
              <w:right w:val="single" w:sz="4" w:space="0" w:color="211D1E"/>
            </w:tcBorders>
            <w:shd w:val="clear" w:color="auto" w:fill="BFBFBF" w:themeFill="background1" w:themeFillShade="BF"/>
            <w:vAlign w:val="center"/>
          </w:tcPr>
          <w:p w14:paraId="109421B6" w14:textId="77777777" w:rsidR="00CE626E" w:rsidRPr="003C4B7B" w:rsidRDefault="00CE626E" w:rsidP="00326E4E">
            <w:pPr>
              <w:pStyle w:val="Default"/>
              <w:rPr>
                <w:rFonts w:ascii="Verdana" w:hAnsi="Verdana" w:cs="Open Sans"/>
                <w:color w:val="211D1E"/>
                <w:sz w:val="22"/>
                <w:szCs w:val="22"/>
              </w:rPr>
            </w:pPr>
            <w:r w:rsidRPr="003C4B7B">
              <w:rPr>
                <w:rFonts w:ascii="Verdana" w:hAnsi="Verdana" w:cs="Open Sans"/>
                <w:color w:val="211D1E"/>
                <w:sz w:val="22"/>
                <w:szCs w:val="22"/>
              </w:rPr>
              <w:t xml:space="preserve">Mark </w:t>
            </w:r>
          </w:p>
        </w:tc>
      </w:tr>
      <w:tr w:rsidR="00CE626E" w:rsidRPr="00AD0F39" w14:paraId="1E02992C" w14:textId="77777777" w:rsidTr="00CE626E">
        <w:trPr>
          <w:trHeight w:val="6813"/>
        </w:trPr>
        <w:tc>
          <w:tcPr>
            <w:tcW w:w="1242" w:type="dxa"/>
            <w:tcBorders>
              <w:top w:val="single" w:sz="4" w:space="0" w:color="211D1E"/>
              <w:left w:val="single" w:sz="4" w:space="0" w:color="211D1E"/>
              <w:bottom w:val="single" w:sz="4" w:space="0" w:color="211D1E"/>
              <w:right w:val="single" w:sz="4" w:space="0" w:color="211D1E"/>
            </w:tcBorders>
          </w:tcPr>
          <w:p w14:paraId="69D95967" w14:textId="77777777" w:rsidR="00CE626E" w:rsidRPr="003C4B7B" w:rsidRDefault="00CE626E" w:rsidP="00326E4E">
            <w:pPr>
              <w:spacing w:line="240" w:lineRule="atLeast"/>
              <w:ind w:right="431"/>
              <w:rPr>
                <w:rFonts w:ascii="Verdana" w:hAnsi="Verdana" w:cs="Open Sans"/>
                <w:b/>
              </w:rPr>
            </w:pPr>
            <w:r>
              <w:rPr>
                <w:rFonts w:ascii="Verdana" w:hAnsi="Verdana" w:cs="Open Sans"/>
                <w:b/>
              </w:rPr>
              <w:t>4</w:t>
            </w:r>
          </w:p>
        </w:tc>
        <w:tc>
          <w:tcPr>
            <w:tcW w:w="7956" w:type="dxa"/>
            <w:tcBorders>
              <w:top w:val="single" w:sz="4" w:space="0" w:color="211D1E"/>
              <w:left w:val="single" w:sz="4" w:space="0" w:color="211D1E"/>
              <w:bottom w:val="single" w:sz="4" w:space="0" w:color="211D1E"/>
              <w:right w:val="single" w:sz="4" w:space="0" w:color="211D1E"/>
            </w:tcBorders>
          </w:tcPr>
          <w:p w14:paraId="5247B14A" w14:textId="77777777" w:rsidR="00CE626E" w:rsidRPr="003C4B7B" w:rsidRDefault="00CE626E" w:rsidP="00326E4E">
            <w:pPr>
              <w:spacing w:line="240" w:lineRule="atLeast"/>
              <w:jc w:val="center"/>
              <w:rPr>
                <w:rFonts w:ascii="Verdana" w:hAnsi="Verdana" w:cs="Open Sans"/>
                <w:b/>
                <w:bCs/>
                <w:color w:val="211D1E"/>
              </w:rPr>
            </w:pPr>
            <w:r w:rsidRPr="003C4B7B">
              <w:rPr>
                <w:rFonts w:ascii="Verdana" w:hAnsi="Verdana" w:cs="Open Sans"/>
                <w:b/>
                <w:bCs/>
                <w:color w:val="211D1E"/>
              </w:rPr>
              <w:t>Knowledge 1, Application 2, Analysis 1</w:t>
            </w:r>
          </w:p>
          <w:p w14:paraId="23693ACD" w14:textId="77777777" w:rsidR="00CE626E" w:rsidRPr="003C4B7B" w:rsidRDefault="00CE626E" w:rsidP="00326E4E">
            <w:pPr>
              <w:spacing w:line="240" w:lineRule="atLeast"/>
              <w:ind w:right="431"/>
              <w:rPr>
                <w:rFonts w:ascii="Verdana" w:hAnsi="Verdana" w:cs="Open Sans"/>
                <w:bCs/>
                <w:color w:val="211D1E"/>
              </w:rPr>
            </w:pPr>
            <w:r w:rsidRPr="003C4B7B">
              <w:rPr>
                <w:rFonts w:ascii="Verdana" w:hAnsi="Verdana" w:cs="Open Sans"/>
                <w:b/>
                <w:bCs/>
                <w:color w:val="211D1E"/>
              </w:rPr>
              <w:t xml:space="preserve">Knowledge/understanding: 1 mark </w:t>
            </w:r>
            <w:r w:rsidRPr="003C4B7B">
              <w:rPr>
                <w:rFonts w:ascii="Verdana" w:hAnsi="Verdana" w:cs="Open Sans"/>
                <w:color w:val="211D1E"/>
              </w:rPr>
              <w:t xml:space="preserve">for a knowledge of SWOT, </w:t>
            </w:r>
            <w:r w:rsidRPr="003C4B7B">
              <w:rPr>
                <w:rFonts w:ascii="Verdana" w:hAnsi="Verdana" w:cs="Open Sans"/>
                <w:bCs/>
                <w:color w:val="211D1E"/>
              </w:rPr>
              <w:t>e.g. strengths/internal weaknesses/external opportunities/external threats</w:t>
            </w:r>
          </w:p>
          <w:p w14:paraId="170198ED" w14:textId="77777777" w:rsidR="00CE626E" w:rsidRPr="003C4B7B" w:rsidRDefault="00CE626E" w:rsidP="00326E4E">
            <w:pPr>
              <w:spacing w:line="240" w:lineRule="atLeast"/>
              <w:ind w:right="431"/>
              <w:rPr>
                <w:rFonts w:ascii="Verdana" w:hAnsi="Verdana" w:cs="Open Sans"/>
                <w:bCs/>
                <w:color w:val="211D1E"/>
              </w:rPr>
            </w:pPr>
            <w:r w:rsidRPr="003C4B7B">
              <w:rPr>
                <w:rFonts w:ascii="Verdana" w:hAnsi="Verdana" w:cs="Open Sans"/>
                <w:bCs/>
                <w:color w:val="211D1E"/>
              </w:rPr>
              <w:t>OR a benefit, e.g. enables the business to gain a better understanding of its internal strengths/internal weaknesses/external opportunities/external threats.</w:t>
            </w:r>
          </w:p>
          <w:p w14:paraId="33547665" w14:textId="77777777" w:rsidR="00CE626E" w:rsidRPr="003C4B7B" w:rsidRDefault="00CE626E" w:rsidP="00326E4E">
            <w:pPr>
              <w:spacing w:line="240" w:lineRule="atLeast"/>
              <w:ind w:right="431"/>
              <w:rPr>
                <w:rFonts w:ascii="Verdana" w:hAnsi="Verdana" w:cs="Open Sans"/>
                <w:b/>
                <w:bCs/>
                <w:color w:val="211D1E"/>
              </w:rPr>
            </w:pPr>
            <w:r w:rsidRPr="003C4B7B">
              <w:rPr>
                <w:rFonts w:ascii="Verdana" w:hAnsi="Verdana" w:cs="Open Sans"/>
                <w:b/>
                <w:bCs/>
                <w:color w:val="211D1E"/>
              </w:rPr>
              <w:t xml:space="preserve">Application: up to 2 marks </w:t>
            </w:r>
            <w:r w:rsidRPr="003C4B7B">
              <w:rPr>
                <w:rFonts w:ascii="Verdana" w:hAnsi="Verdana" w:cs="Open Sans"/>
                <w:color w:val="211D1E"/>
              </w:rPr>
              <w:t>for:</w:t>
            </w:r>
          </w:p>
          <w:p w14:paraId="4A4EC04E" w14:textId="77777777" w:rsidR="00CE626E" w:rsidRPr="003C4B7B" w:rsidRDefault="00CE626E" w:rsidP="00CE626E">
            <w:pPr>
              <w:pStyle w:val="ListParagraph"/>
              <w:numPr>
                <w:ilvl w:val="0"/>
                <w:numId w:val="17"/>
              </w:numPr>
              <w:spacing w:after="0" w:line="240" w:lineRule="atLeast"/>
              <w:ind w:right="431"/>
              <w:rPr>
                <w:rFonts w:ascii="Verdana" w:hAnsi="Verdana" w:cs="Open Sans"/>
                <w:bCs/>
                <w:color w:val="211D1E"/>
              </w:rPr>
            </w:pPr>
            <w:r w:rsidRPr="003C4B7B">
              <w:rPr>
                <w:rFonts w:ascii="Verdana" w:hAnsi="Verdana" w:cs="Open Sans"/>
                <w:bCs/>
                <w:color w:val="211D1E"/>
              </w:rPr>
              <w:t xml:space="preserve">internal strength - Sports Direct generated sales revenue of £3.359.5 million in 2018. </w:t>
            </w:r>
          </w:p>
          <w:p w14:paraId="4A345258" w14:textId="77777777" w:rsidR="00CE626E" w:rsidRPr="003C4B7B" w:rsidRDefault="00CE626E" w:rsidP="00CE626E">
            <w:pPr>
              <w:pStyle w:val="ListParagraph"/>
              <w:numPr>
                <w:ilvl w:val="0"/>
                <w:numId w:val="17"/>
              </w:numPr>
              <w:spacing w:after="0" w:line="240" w:lineRule="atLeast"/>
              <w:ind w:right="431"/>
              <w:rPr>
                <w:rFonts w:ascii="Verdana" w:hAnsi="Verdana" w:cs="Open Sans"/>
                <w:bCs/>
                <w:color w:val="211D1E"/>
              </w:rPr>
            </w:pPr>
            <w:r w:rsidRPr="003C4B7B">
              <w:rPr>
                <w:rFonts w:ascii="Verdana" w:hAnsi="Verdana" w:cs="Open Sans"/>
                <w:bCs/>
                <w:color w:val="211D1E"/>
              </w:rPr>
              <w:t>internal weakness - Sports Direct lost £85 million as a result of its investment in Debenhams.</w:t>
            </w:r>
          </w:p>
          <w:p w14:paraId="5447C3EC" w14:textId="77777777" w:rsidR="00CE626E" w:rsidRPr="003C4B7B" w:rsidRDefault="00CE626E" w:rsidP="00CE626E">
            <w:pPr>
              <w:pStyle w:val="ListParagraph"/>
              <w:numPr>
                <w:ilvl w:val="0"/>
                <w:numId w:val="17"/>
              </w:numPr>
              <w:spacing w:after="0" w:line="240" w:lineRule="atLeast"/>
              <w:ind w:right="431"/>
              <w:rPr>
                <w:rFonts w:ascii="Verdana" w:hAnsi="Verdana" w:cs="Open Sans"/>
                <w:bCs/>
                <w:color w:val="211D1E"/>
              </w:rPr>
            </w:pPr>
            <w:r w:rsidRPr="003C4B7B">
              <w:rPr>
                <w:rFonts w:ascii="Verdana" w:hAnsi="Verdana" w:cs="Open Sans"/>
                <w:bCs/>
                <w:color w:val="211D1E"/>
              </w:rPr>
              <w:t>external opportunity - Buying House of Fraser provides an opportunity to transform it into ‘the Harrods of the High Street’.</w:t>
            </w:r>
          </w:p>
          <w:p w14:paraId="60341949" w14:textId="77777777" w:rsidR="00CE626E" w:rsidRDefault="00CE626E" w:rsidP="00CE626E">
            <w:pPr>
              <w:pStyle w:val="ListParagraph"/>
              <w:numPr>
                <w:ilvl w:val="0"/>
                <w:numId w:val="17"/>
              </w:numPr>
              <w:spacing w:after="0" w:line="240" w:lineRule="atLeast"/>
              <w:ind w:right="431"/>
              <w:rPr>
                <w:rFonts w:ascii="Verdana" w:hAnsi="Verdana" w:cs="Open Sans"/>
                <w:bCs/>
                <w:color w:val="211D1E"/>
              </w:rPr>
            </w:pPr>
            <w:r w:rsidRPr="003C4B7B">
              <w:rPr>
                <w:rFonts w:ascii="Verdana" w:hAnsi="Verdana" w:cs="Open Sans"/>
                <w:bCs/>
                <w:color w:val="211D1E"/>
              </w:rPr>
              <w:t>external threat – Growth in online sales (growing at 10x the rate of physical store sales).</w:t>
            </w:r>
          </w:p>
          <w:p w14:paraId="49BAFC95" w14:textId="77777777" w:rsidR="00CE626E" w:rsidRPr="003C4B7B" w:rsidRDefault="00CE626E" w:rsidP="00326E4E">
            <w:pPr>
              <w:pStyle w:val="ListParagraph"/>
              <w:spacing w:after="0" w:line="240" w:lineRule="atLeast"/>
              <w:ind w:right="431"/>
              <w:rPr>
                <w:rFonts w:ascii="Verdana" w:hAnsi="Verdana" w:cs="Open Sans"/>
                <w:bCs/>
                <w:color w:val="211D1E"/>
              </w:rPr>
            </w:pPr>
          </w:p>
          <w:p w14:paraId="2578ABA9" w14:textId="77777777" w:rsidR="00CE626E" w:rsidRPr="003C4B7B" w:rsidRDefault="00CE626E" w:rsidP="00326E4E">
            <w:pPr>
              <w:spacing w:line="240" w:lineRule="atLeast"/>
              <w:ind w:right="431"/>
              <w:rPr>
                <w:rFonts w:ascii="Verdana" w:hAnsi="Verdana" w:cs="Open Sans"/>
                <w:b/>
                <w:bCs/>
                <w:color w:val="211D1E"/>
              </w:rPr>
            </w:pPr>
            <w:r w:rsidRPr="003C4B7B">
              <w:rPr>
                <w:rFonts w:ascii="Verdana" w:hAnsi="Verdana" w:cs="Open Sans"/>
                <w:b/>
                <w:bCs/>
                <w:color w:val="211D1E"/>
              </w:rPr>
              <w:t xml:space="preserve">Analysis: 1 mark </w:t>
            </w:r>
            <w:r w:rsidRPr="003C4B7B">
              <w:rPr>
                <w:rFonts w:ascii="Verdana" w:hAnsi="Verdana" w:cs="Open Sans"/>
                <w:color w:val="211D1E"/>
              </w:rPr>
              <w:t>for:</w:t>
            </w:r>
          </w:p>
          <w:p w14:paraId="215E2978" w14:textId="77777777" w:rsidR="00CE626E" w:rsidRPr="003C4B7B" w:rsidRDefault="00CE626E" w:rsidP="00CE626E">
            <w:pPr>
              <w:pStyle w:val="ListParagraph"/>
              <w:numPr>
                <w:ilvl w:val="0"/>
                <w:numId w:val="18"/>
              </w:numPr>
              <w:spacing w:after="0" w:line="240" w:lineRule="atLeast"/>
              <w:ind w:right="431"/>
              <w:rPr>
                <w:rFonts w:ascii="Verdana" w:hAnsi="Verdana" w:cs="Open Sans"/>
                <w:bCs/>
                <w:color w:val="211D1E"/>
              </w:rPr>
            </w:pPr>
            <w:r w:rsidRPr="003C4B7B">
              <w:rPr>
                <w:rFonts w:ascii="Verdana" w:hAnsi="Verdana" w:cs="Open Sans"/>
                <w:bCs/>
                <w:color w:val="211D1E"/>
              </w:rPr>
              <w:t xml:space="preserve">SWOT analysis is key to planning Sports Direct’s strategy for achieving its aim to be the ‘Selfridges of Sport’, because it can use its strengths to exploit opportunities. </w:t>
            </w:r>
          </w:p>
        </w:tc>
        <w:tc>
          <w:tcPr>
            <w:tcW w:w="833" w:type="dxa"/>
            <w:tcBorders>
              <w:top w:val="single" w:sz="4" w:space="0" w:color="211D1E"/>
              <w:left w:val="single" w:sz="4" w:space="0" w:color="211D1E"/>
              <w:bottom w:val="single" w:sz="4" w:space="0" w:color="211D1E"/>
              <w:right w:val="single" w:sz="4" w:space="0" w:color="211D1E"/>
            </w:tcBorders>
            <w:vAlign w:val="center"/>
          </w:tcPr>
          <w:p w14:paraId="3469A77A" w14:textId="77777777" w:rsidR="00CE626E" w:rsidRPr="003C4B7B" w:rsidRDefault="00CE626E" w:rsidP="00326E4E">
            <w:pPr>
              <w:pStyle w:val="Default"/>
              <w:rPr>
                <w:rFonts w:ascii="Verdana" w:hAnsi="Verdana" w:cs="Open Sans"/>
                <w:color w:val="211D1E"/>
                <w:sz w:val="22"/>
                <w:szCs w:val="22"/>
              </w:rPr>
            </w:pPr>
          </w:p>
          <w:p w14:paraId="544AC6B7" w14:textId="77777777" w:rsidR="00CE626E" w:rsidRPr="003C4B7B" w:rsidRDefault="00CE626E" w:rsidP="00326E4E">
            <w:pPr>
              <w:rPr>
                <w:rFonts w:ascii="Verdana" w:hAnsi="Verdana" w:cs="Open Sans"/>
              </w:rPr>
            </w:pPr>
          </w:p>
          <w:p w14:paraId="53B63AB0" w14:textId="77777777" w:rsidR="00CE626E" w:rsidRPr="003C4B7B" w:rsidRDefault="00CE626E" w:rsidP="00326E4E">
            <w:pPr>
              <w:rPr>
                <w:rFonts w:ascii="Verdana" w:hAnsi="Verdana" w:cs="Open Sans"/>
              </w:rPr>
            </w:pPr>
          </w:p>
          <w:p w14:paraId="10F65479" w14:textId="77777777" w:rsidR="00CE626E" w:rsidRPr="003C4B7B" w:rsidRDefault="00CE626E" w:rsidP="00326E4E">
            <w:pPr>
              <w:rPr>
                <w:rFonts w:ascii="Verdana" w:hAnsi="Verdana" w:cs="Open Sans"/>
              </w:rPr>
            </w:pPr>
          </w:p>
          <w:p w14:paraId="551353F6" w14:textId="77777777" w:rsidR="00CE626E" w:rsidRPr="003C4B7B" w:rsidRDefault="00CE626E" w:rsidP="00326E4E">
            <w:pPr>
              <w:rPr>
                <w:rFonts w:ascii="Verdana" w:hAnsi="Verdana" w:cs="Open Sans"/>
              </w:rPr>
            </w:pPr>
          </w:p>
          <w:p w14:paraId="6188F26F" w14:textId="77777777" w:rsidR="00CE626E" w:rsidRPr="003C4B7B" w:rsidRDefault="00CE626E" w:rsidP="00326E4E">
            <w:pPr>
              <w:rPr>
                <w:rFonts w:ascii="Verdana" w:hAnsi="Verdana" w:cs="Open Sans"/>
                <w:b/>
              </w:rPr>
            </w:pPr>
          </w:p>
          <w:p w14:paraId="5DC98602" w14:textId="77777777" w:rsidR="00CE626E" w:rsidRPr="003C4B7B" w:rsidRDefault="00CE626E" w:rsidP="00326E4E">
            <w:pPr>
              <w:rPr>
                <w:rFonts w:ascii="Verdana" w:hAnsi="Verdana" w:cs="Open Sans"/>
                <w:b/>
              </w:rPr>
            </w:pPr>
          </w:p>
          <w:p w14:paraId="1726D3F8" w14:textId="77777777" w:rsidR="00CE626E" w:rsidRPr="003C4B7B" w:rsidRDefault="00CE626E" w:rsidP="00326E4E">
            <w:pPr>
              <w:rPr>
                <w:rFonts w:ascii="Verdana" w:hAnsi="Verdana" w:cs="Open Sans"/>
                <w:b/>
              </w:rPr>
            </w:pPr>
          </w:p>
          <w:p w14:paraId="479E9162" w14:textId="77777777" w:rsidR="00CE626E" w:rsidRPr="003C4B7B" w:rsidRDefault="00CE626E" w:rsidP="00326E4E">
            <w:pPr>
              <w:rPr>
                <w:rFonts w:ascii="Verdana" w:hAnsi="Verdana" w:cs="Open Sans"/>
                <w:b/>
              </w:rPr>
            </w:pPr>
          </w:p>
          <w:p w14:paraId="293C3099" w14:textId="77777777" w:rsidR="00CE626E" w:rsidRPr="003C4B7B" w:rsidRDefault="00CE626E" w:rsidP="00326E4E">
            <w:pPr>
              <w:rPr>
                <w:rFonts w:ascii="Verdana" w:hAnsi="Verdana" w:cs="Open Sans"/>
                <w:b/>
              </w:rPr>
            </w:pPr>
          </w:p>
          <w:p w14:paraId="052128D0" w14:textId="77777777" w:rsidR="00CE626E" w:rsidRPr="003C4B7B" w:rsidRDefault="00CE626E" w:rsidP="00326E4E">
            <w:pPr>
              <w:rPr>
                <w:rFonts w:ascii="Verdana" w:hAnsi="Verdana" w:cs="Open Sans"/>
                <w:b/>
              </w:rPr>
            </w:pPr>
          </w:p>
          <w:p w14:paraId="6427751F" w14:textId="77777777" w:rsidR="00CE626E" w:rsidRPr="003C4B7B" w:rsidRDefault="00CE626E" w:rsidP="00326E4E">
            <w:pPr>
              <w:rPr>
                <w:rFonts w:ascii="Verdana" w:hAnsi="Verdana" w:cs="Open Sans"/>
                <w:b/>
              </w:rPr>
            </w:pPr>
          </w:p>
          <w:p w14:paraId="58C523FD" w14:textId="77777777" w:rsidR="00CE626E" w:rsidRPr="003C4B7B" w:rsidRDefault="00CE626E" w:rsidP="00326E4E">
            <w:pPr>
              <w:rPr>
                <w:rFonts w:ascii="Verdana" w:hAnsi="Verdana" w:cs="Open Sans"/>
                <w:b/>
              </w:rPr>
            </w:pPr>
            <w:r w:rsidRPr="003C4B7B">
              <w:rPr>
                <w:rFonts w:ascii="Verdana" w:hAnsi="Verdana" w:cs="Open Sans"/>
                <w:b/>
              </w:rPr>
              <w:t xml:space="preserve">    (4)</w:t>
            </w:r>
          </w:p>
        </w:tc>
      </w:tr>
    </w:tbl>
    <w:p w14:paraId="64BAF4EA" w14:textId="77777777" w:rsidR="00CE626E" w:rsidRDefault="00CE626E" w:rsidP="00CE626E">
      <w:pPr>
        <w:rPr>
          <w:rFonts w:ascii="Verdana" w:hAnsi="Verdana" w:cs="Arial"/>
          <w:color w:val="404040"/>
        </w:rPr>
      </w:pPr>
    </w:p>
    <w:p w14:paraId="73529D3B" w14:textId="77777777" w:rsidR="00CE626E" w:rsidRDefault="00CE626E" w:rsidP="00CE626E"/>
    <w:p w14:paraId="421FEFAF" w14:textId="77777777" w:rsidR="00CE626E" w:rsidRDefault="00CE626E" w:rsidP="00CE626E"/>
    <w:p w14:paraId="5808BA81" w14:textId="77777777" w:rsidR="009508EE" w:rsidRPr="00327162" w:rsidRDefault="009508EE" w:rsidP="009508EE"/>
    <w:sectPr w:rsidR="009508EE" w:rsidRPr="003271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48278" w14:textId="77777777" w:rsidR="009B54FA" w:rsidRDefault="009B54FA" w:rsidP="0077335C">
      <w:pPr>
        <w:spacing w:after="0" w:line="240" w:lineRule="auto"/>
      </w:pPr>
      <w:r>
        <w:separator/>
      </w:r>
    </w:p>
  </w:endnote>
  <w:endnote w:type="continuationSeparator" w:id="0">
    <w:p w14:paraId="70DDC2D7" w14:textId="77777777" w:rsidR="009B54FA" w:rsidRDefault="009B54FA" w:rsidP="00773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yriad Pro">
    <w:altName w:val="Arial"/>
    <w:panose1 w:val="020B0503030403020204"/>
    <w:charset w:val="00"/>
    <w:family w:val="swiss"/>
    <w:notTrueType/>
    <w:pitch w:val="variable"/>
    <w:sig w:usb0="2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Myriad Pro Cond"/>
    <w:charset w:val="00"/>
    <w:family w:val="swiss"/>
    <w:pitch w:val="variable"/>
    <w:sig w:usb0="00000001" w:usb1="4000205B" w:usb2="00000028" w:usb3="00000000" w:csb0="0000019F" w:csb1="00000000"/>
  </w:font>
  <w:font w:name="MyriadPro-Regular">
    <w:altName w:val="Calibri"/>
    <w:panose1 w:val="00000000000000000000"/>
    <w:charset w:val="00"/>
    <w:family w:val="swiss"/>
    <w:notTrueType/>
    <w:pitch w:val="default"/>
    <w:sig w:usb0="00000003" w:usb1="00000000" w:usb2="00000000" w:usb3="00000000" w:csb0="00000001" w:csb1="00000000"/>
  </w:font>
  <w:font w:name="MyriadPro-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4B9BB" w14:textId="77777777" w:rsidR="009B54FA" w:rsidRDefault="009B54FA" w:rsidP="0077335C">
      <w:pPr>
        <w:spacing w:after="0" w:line="240" w:lineRule="auto"/>
      </w:pPr>
      <w:r>
        <w:separator/>
      </w:r>
    </w:p>
  </w:footnote>
  <w:footnote w:type="continuationSeparator" w:id="0">
    <w:p w14:paraId="7B1020E5" w14:textId="77777777" w:rsidR="009B54FA" w:rsidRDefault="009B54FA" w:rsidP="007733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4087E"/>
    <w:multiLevelType w:val="hybridMultilevel"/>
    <w:tmpl w:val="D2A0DC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4AF30AB"/>
    <w:multiLevelType w:val="multilevel"/>
    <w:tmpl w:val="AF36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5267D4"/>
    <w:multiLevelType w:val="hybridMultilevel"/>
    <w:tmpl w:val="0B7C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D32EF"/>
    <w:multiLevelType w:val="hybridMultilevel"/>
    <w:tmpl w:val="8A986F6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63C63"/>
    <w:multiLevelType w:val="hybridMultilevel"/>
    <w:tmpl w:val="D46E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5D68F0"/>
    <w:multiLevelType w:val="multilevel"/>
    <w:tmpl w:val="26FC1B98"/>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01C344B"/>
    <w:multiLevelType w:val="hybridMultilevel"/>
    <w:tmpl w:val="CDB2BEF8"/>
    <w:lvl w:ilvl="0" w:tplc="EB9C761E">
      <w:numFmt w:val="bullet"/>
      <w:lvlText w:val=""/>
      <w:lvlJc w:val="left"/>
      <w:pPr>
        <w:ind w:left="828" w:hanging="360"/>
      </w:pPr>
      <w:rPr>
        <w:rFonts w:ascii="Symbol" w:eastAsia="Symbol" w:hAnsi="Symbol" w:cs="Symbol" w:hint="default"/>
        <w:w w:val="100"/>
        <w:sz w:val="22"/>
        <w:szCs w:val="22"/>
        <w:lang w:val="en-US" w:eastAsia="en-US" w:bidi="en-US"/>
      </w:rPr>
    </w:lvl>
    <w:lvl w:ilvl="1" w:tplc="F516E368">
      <w:numFmt w:val="bullet"/>
      <w:lvlText w:val="•"/>
      <w:lvlJc w:val="left"/>
      <w:pPr>
        <w:ind w:left="1514" w:hanging="360"/>
      </w:pPr>
      <w:rPr>
        <w:rFonts w:hint="default"/>
        <w:lang w:val="en-US" w:eastAsia="en-US" w:bidi="en-US"/>
      </w:rPr>
    </w:lvl>
    <w:lvl w:ilvl="2" w:tplc="BBB48DBE">
      <w:numFmt w:val="bullet"/>
      <w:lvlText w:val="•"/>
      <w:lvlJc w:val="left"/>
      <w:pPr>
        <w:ind w:left="2209" w:hanging="360"/>
      </w:pPr>
      <w:rPr>
        <w:rFonts w:hint="default"/>
        <w:lang w:val="en-US" w:eastAsia="en-US" w:bidi="en-US"/>
      </w:rPr>
    </w:lvl>
    <w:lvl w:ilvl="3" w:tplc="3BF8F9A4">
      <w:numFmt w:val="bullet"/>
      <w:lvlText w:val="•"/>
      <w:lvlJc w:val="left"/>
      <w:pPr>
        <w:ind w:left="2904" w:hanging="360"/>
      </w:pPr>
      <w:rPr>
        <w:rFonts w:hint="default"/>
        <w:lang w:val="en-US" w:eastAsia="en-US" w:bidi="en-US"/>
      </w:rPr>
    </w:lvl>
    <w:lvl w:ilvl="4" w:tplc="D08660FC">
      <w:numFmt w:val="bullet"/>
      <w:lvlText w:val="•"/>
      <w:lvlJc w:val="left"/>
      <w:pPr>
        <w:ind w:left="3598" w:hanging="360"/>
      </w:pPr>
      <w:rPr>
        <w:rFonts w:hint="default"/>
        <w:lang w:val="en-US" w:eastAsia="en-US" w:bidi="en-US"/>
      </w:rPr>
    </w:lvl>
    <w:lvl w:ilvl="5" w:tplc="2D22FADA">
      <w:numFmt w:val="bullet"/>
      <w:lvlText w:val="•"/>
      <w:lvlJc w:val="left"/>
      <w:pPr>
        <w:ind w:left="4293" w:hanging="360"/>
      </w:pPr>
      <w:rPr>
        <w:rFonts w:hint="default"/>
        <w:lang w:val="en-US" w:eastAsia="en-US" w:bidi="en-US"/>
      </w:rPr>
    </w:lvl>
    <w:lvl w:ilvl="6" w:tplc="43323B46">
      <w:numFmt w:val="bullet"/>
      <w:lvlText w:val="•"/>
      <w:lvlJc w:val="left"/>
      <w:pPr>
        <w:ind w:left="4988" w:hanging="360"/>
      </w:pPr>
      <w:rPr>
        <w:rFonts w:hint="default"/>
        <w:lang w:val="en-US" w:eastAsia="en-US" w:bidi="en-US"/>
      </w:rPr>
    </w:lvl>
    <w:lvl w:ilvl="7" w:tplc="398E742C">
      <w:numFmt w:val="bullet"/>
      <w:lvlText w:val="•"/>
      <w:lvlJc w:val="left"/>
      <w:pPr>
        <w:ind w:left="5682" w:hanging="360"/>
      </w:pPr>
      <w:rPr>
        <w:rFonts w:hint="default"/>
        <w:lang w:val="en-US" w:eastAsia="en-US" w:bidi="en-US"/>
      </w:rPr>
    </w:lvl>
    <w:lvl w:ilvl="8" w:tplc="527A8D98">
      <w:numFmt w:val="bullet"/>
      <w:lvlText w:val="•"/>
      <w:lvlJc w:val="left"/>
      <w:pPr>
        <w:ind w:left="6377" w:hanging="360"/>
      </w:pPr>
      <w:rPr>
        <w:rFonts w:hint="default"/>
        <w:lang w:val="en-US" w:eastAsia="en-US" w:bidi="en-US"/>
      </w:rPr>
    </w:lvl>
  </w:abstractNum>
  <w:abstractNum w:abstractNumId="7" w15:restartNumberingAfterBreak="0">
    <w:nsid w:val="479270CC"/>
    <w:multiLevelType w:val="hybridMultilevel"/>
    <w:tmpl w:val="9CAE4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9611B3"/>
    <w:multiLevelType w:val="multilevel"/>
    <w:tmpl w:val="A4A020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540763"/>
    <w:multiLevelType w:val="hybridMultilevel"/>
    <w:tmpl w:val="2AD6C6D2"/>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0" w15:restartNumberingAfterBreak="0">
    <w:nsid w:val="4B2467CD"/>
    <w:multiLevelType w:val="multilevel"/>
    <w:tmpl w:val="E320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0A556C"/>
    <w:multiLevelType w:val="multilevel"/>
    <w:tmpl w:val="8C50690C"/>
    <w:lvl w:ilvl="0">
      <w:start w:val="1"/>
      <w:numFmt w:val="decimal"/>
      <w:lvlText w:val="%1"/>
      <w:lvlJc w:val="left"/>
      <w:pPr>
        <w:ind w:left="730" w:hanging="730"/>
      </w:pPr>
      <w:rPr>
        <w:rFonts w:hint="default"/>
      </w:rPr>
    </w:lvl>
    <w:lvl w:ilvl="1">
      <w:start w:val="1"/>
      <w:numFmt w:val="decimal"/>
      <w:lvlText w:val="%1.%2"/>
      <w:lvlJc w:val="left"/>
      <w:pPr>
        <w:ind w:left="730" w:hanging="730"/>
      </w:pPr>
      <w:rPr>
        <w:rFonts w:hint="default"/>
      </w:rPr>
    </w:lvl>
    <w:lvl w:ilvl="2">
      <w:start w:val="1"/>
      <w:numFmt w:val="decimal"/>
      <w:lvlText w:val="%1.%2.%3"/>
      <w:lvlJc w:val="left"/>
      <w:pPr>
        <w:ind w:left="730" w:hanging="730"/>
      </w:pPr>
      <w:rPr>
        <w:rFonts w:hint="default"/>
      </w:rPr>
    </w:lvl>
    <w:lvl w:ilvl="3">
      <w:start w:val="1"/>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282019F"/>
    <w:multiLevelType w:val="hybridMultilevel"/>
    <w:tmpl w:val="B268EBF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87371D"/>
    <w:multiLevelType w:val="hybridMultilevel"/>
    <w:tmpl w:val="1478A1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6D034F1"/>
    <w:multiLevelType w:val="hybridMultilevel"/>
    <w:tmpl w:val="783649F0"/>
    <w:lvl w:ilvl="0" w:tplc="D54691CC">
      <w:numFmt w:val="bullet"/>
      <w:lvlText w:val=""/>
      <w:lvlJc w:val="left"/>
      <w:pPr>
        <w:ind w:left="895" w:hanging="360"/>
      </w:pPr>
      <w:rPr>
        <w:rFonts w:ascii="Symbol" w:eastAsia="Symbol" w:hAnsi="Symbol" w:cs="Symbol" w:hint="default"/>
        <w:w w:val="100"/>
        <w:sz w:val="22"/>
        <w:szCs w:val="22"/>
        <w:lang w:val="en-US" w:eastAsia="en-US" w:bidi="en-US"/>
      </w:rPr>
    </w:lvl>
    <w:lvl w:ilvl="1" w:tplc="B1A6C4C8">
      <w:numFmt w:val="bullet"/>
      <w:lvlText w:val="•"/>
      <w:lvlJc w:val="left"/>
      <w:pPr>
        <w:ind w:left="1586" w:hanging="360"/>
      </w:pPr>
      <w:rPr>
        <w:rFonts w:hint="default"/>
        <w:lang w:val="en-US" w:eastAsia="en-US" w:bidi="en-US"/>
      </w:rPr>
    </w:lvl>
    <w:lvl w:ilvl="2" w:tplc="A5B207A8">
      <w:numFmt w:val="bullet"/>
      <w:lvlText w:val="•"/>
      <w:lvlJc w:val="left"/>
      <w:pPr>
        <w:ind w:left="2273" w:hanging="360"/>
      </w:pPr>
      <w:rPr>
        <w:rFonts w:hint="default"/>
        <w:lang w:val="en-US" w:eastAsia="en-US" w:bidi="en-US"/>
      </w:rPr>
    </w:lvl>
    <w:lvl w:ilvl="3" w:tplc="1D84B5EC">
      <w:numFmt w:val="bullet"/>
      <w:lvlText w:val="•"/>
      <w:lvlJc w:val="left"/>
      <w:pPr>
        <w:ind w:left="2960" w:hanging="360"/>
      </w:pPr>
      <w:rPr>
        <w:rFonts w:hint="default"/>
        <w:lang w:val="en-US" w:eastAsia="en-US" w:bidi="en-US"/>
      </w:rPr>
    </w:lvl>
    <w:lvl w:ilvl="4" w:tplc="D32CE07A">
      <w:numFmt w:val="bullet"/>
      <w:lvlText w:val="•"/>
      <w:lvlJc w:val="left"/>
      <w:pPr>
        <w:ind w:left="3646" w:hanging="360"/>
      </w:pPr>
      <w:rPr>
        <w:rFonts w:hint="default"/>
        <w:lang w:val="en-US" w:eastAsia="en-US" w:bidi="en-US"/>
      </w:rPr>
    </w:lvl>
    <w:lvl w:ilvl="5" w:tplc="34DC4C76">
      <w:numFmt w:val="bullet"/>
      <w:lvlText w:val="•"/>
      <w:lvlJc w:val="left"/>
      <w:pPr>
        <w:ind w:left="4333" w:hanging="360"/>
      </w:pPr>
      <w:rPr>
        <w:rFonts w:hint="default"/>
        <w:lang w:val="en-US" w:eastAsia="en-US" w:bidi="en-US"/>
      </w:rPr>
    </w:lvl>
    <w:lvl w:ilvl="6" w:tplc="B1C8E100">
      <w:numFmt w:val="bullet"/>
      <w:lvlText w:val="•"/>
      <w:lvlJc w:val="left"/>
      <w:pPr>
        <w:ind w:left="5020" w:hanging="360"/>
      </w:pPr>
      <w:rPr>
        <w:rFonts w:hint="default"/>
        <w:lang w:val="en-US" w:eastAsia="en-US" w:bidi="en-US"/>
      </w:rPr>
    </w:lvl>
    <w:lvl w:ilvl="7" w:tplc="4E847172">
      <w:numFmt w:val="bullet"/>
      <w:lvlText w:val="•"/>
      <w:lvlJc w:val="left"/>
      <w:pPr>
        <w:ind w:left="5706" w:hanging="360"/>
      </w:pPr>
      <w:rPr>
        <w:rFonts w:hint="default"/>
        <w:lang w:val="en-US" w:eastAsia="en-US" w:bidi="en-US"/>
      </w:rPr>
    </w:lvl>
    <w:lvl w:ilvl="8" w:tplc="8EAE1504">
      <w:numFmt w:val="bullet"/>
      <w:lvlText w:val="•"/>
      <w:lvlJc w:val="left"/>
      <w:pPr>
        <w:ind w:left="6393" w:hanging="360"/>
      </w:pPr>
      <w:rPr>
        <w:rFonts w:hint="default"/>
        <w:lang w:val="en-US" w:eastAsia="en-US" w:bidi="en-US"/>
      </w:rPr>
    </w:lvl>
  </w:abstractNum>
  <w:abstractNum w:abstractNumId="15" w15:restartNumberingAfterBreak="0">
    <w:nsid w:val="61181F78"/>
    <w:multiLevelType w:val="hybridMultilevel"/>
    <w:tmpl w:val="CEF04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F86663"/>
    <w:multiLevelType w:val="hybridMultilevel"/>
    <w:tmpl w:val="87E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6018D1"/>
    <w:multiLevelType w:val="hybridMultilevel"/>
    <w:tmpl w:val="24AAD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11"/>
  </w:num>
  <w:num w:numId="5">
    <w:abstractNumId w:val="13"/>
  </w:num>
  <w:num w:numId="6">
    <w:abstractNumId w:val="0"/>
  </w:num>
  <w:num w:numId="7">
    <w:abstractNumId w:val="5"/>
  </w:num>
  <w:num w:numId="8">
    <w:abstractNumId w:val="2"/>
  </w:num>
  <w:num w:numId="9">
    <w:abstractNumId w:val="16"/>
  </w:num>
  <w:num w:numId="10">
    <w:abstractNumId w:val="15"/>
  </w:num>
  <w:num w:numId="11">
    <w:abstractNumId w:val="6"/>
  </w:num>
  <w:num w:numId="12">
    <w:abstractNumId w:val="14"/>
  </w:num>
  <w:num w:numId="13">
    <w:abstractNumId w:val="17"/>
  </w:num>
  <w:num w:numId="14">
    <w:abstractNumId w:val="4"/>
  </w:num>
  <w:num w:numId="15">
    <w:abstractNumId w:val="9"/>
  </w:num>
  <w:num w:numId="16">
    <w:abstractNumId w:val="7"/>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5C"/>
    <w:rsid w:val="000066A2"/>
    <w:rsid w:val="00007C26"/>
    <w:rsid w:val="00051EEC"/>
    <w:rsid w:val="000705B0"/>
    <w:rsid w:val="0007576A"/>
    <w:rsid w:val="000C56F0"/>
    <w:rsid w:val="000E73D1"/>
    <w:rsid w:val="000F0A2D"/>
    <w:rsid w:val="0013521D"/>
    <w:rsid w:val="00142D6B"/>
    <w:rsid w:val="0015713C"/>
    <w:rsid w:val="00164E9A"/>
    <w:rsid w:val="001823C2"/>
    <w:rsid w:val="001A65A4"/>
    <w:rsid w:val="001B256A"/>
    <w:rsid w:val="001B2B8A"/>
    <w:rsid w:val="001D1CF6"/>
    <w:rsid w:val="001E0797"/>
    <w:rsid w:val="0020054D"/>
    <w:rsid w:val="0023277C"/>
    <w:rsid w:val="00235CEF"/>
    <w:rsid w:val="002966DF"/>
    <w:rsid w:val="002A450C"/>
    <w:rsid w:val="002B1A1C"/>
    <w:rsid w:val="002C496F"/>
    <w:rsid w:val="002D6FE7"/>
    <w:rsid w:val="002F6CCA"/>
    <w:rsid w:val="00327162"/>
    <w:rsid w:val="00375CD7"/>
    <w:rsid w:val="003B6B4D"/>
    <w:rsid w:val="003D0973"/>
    <w:rsid w:val="003D4437"/>
    <w:rsid w:val="003F4BB5"/>
    <w:rsid w:val="00445DB7"/>
    <w:rsid w:val="004861E7"/>
    <w:rsid w:val="00496E6F"/>
    <w:rsid w:val="004B6442"/>
    <w:rsid w:val="004C72E8"/>
    <w:rsid w:val="004E05B9"/>
    <w:rsid w:val="00503293"/>
    <w:rsid w:val="00527031"/>
    <w:rsid w:val="00532E69"/>
    <w:rsid w:val="005A0362"/>
    <w:rsid w:val="005A6C85"/>
    <w:rsid w:val="005C3B07"/>
    <w:rsid w:val="005C5562"/>
    <w:rsid w:val="005D4D15"/>
    <w:rsid w:val="005E2A3A"/>
    <w:rsid w:val="005E7FF5"/>
    <w:rsid w:val="005F79EC"/>
    <w:rsid w:val="005F7F44"/>
    <w:rsid w:val="00632510"/>
    <w:rsid w:val="00653E31"/>
    <w:rsid w:val="0066582D"/>
    <w:rsid w:val="00670145"/>
    <w:rsid w:val="006C71C6"/>
    <w:rsid w:val="006F501B"/>
    <w:rsid w:val="006F72BF"/>
    <w:rsid w:val="006F7CBD"/>
    <w:rsid w:val="007604C6"/>
    <w:rsid w:val="0077335C"/>
    <w:rsid w:val="00784214"/>
    <w:rsid w:val="00787FCC"/>
    <w:rsid w:val="00792AA4"/>
    <w:rsid w:val="007A0822"/>
    <w:rsid w:val="007D4209"/>
    <w:rsid w:val="007E27B6"/>
    <w:rsid w:val="00815412"/>
    <w:rsid w:val="00834535"/>
    <w:rsid w:val="008362D3"/>
    <w:rsid w:val="00841012"/>
    <w:rsid w:val="00872B37"/>
    <w:rsid w:val="008D4E2E"/>
    <w:rsid w:val="00922006"/>
    <w:rsid w:val="009508EE"/>
    <w:rsid w:val="00951693"/>
    <w:rsid w:val="00957A06"/>
    <w:rsid w:val="009B4955"/>
    <w:rsid w:val="009B54FA"/>
    <w:rsid w:val="009C6BA5"/>
    <w:rsid w:val="009F7055"/>
    <w:rsid w:val="00A00DF6"/>
    <w:rsid w:val="00A07791"/>
    <w:rsid w:val="00AB634A"/>
    <w:rsid w:val="00AC64D9"/>
    <w:rsid w:val="00B16051"/>
    <w:rsid w:val="00B46353"/>
    <w:rsid w:val="00B56475"/>
    <w:rsid w:val="00B92059"/>
    <w:rsid w:val="00BD3B98"/>
    <w:rsid w:val="00BD6A34"/>
    <w:rsid w:val="00BE129E"/>
    <w:rsid w:val="00C40619"/>
    <w:rsid w:val="00C516A7"/>
    <w:rsid w:val="00C84470"/>
    <w:rsid w:val="00C873A8"/>
    <w:rsid w:val="00C96901"/>
    <w:rsid w:val="00CE626E"/>
    <w:rsid w:val="00CF4B10"/>
    <w:rsid w:val="00D14A69"/>
    <w:rsid w:val="00D22A5F"/>
    <w:rsid w:val="00D35EB7"/>
    <w:rsid w:val="00D73620"/>
    <w:rsid w:val="00D90EBB"/>
    <w:rsid w:val="00DA3EB2"/>
    <w:rsid w:val="00DC2989"/>
    <w:rsid w:val="00DE007C"/>
    <w:rsid w:val="00E41616"/>
    <w:rsid w:val="00E541D0"/>
    <w:rsid w:val="00E74E34"/>
    <w:rsid w:val="00E8455C"/>
    <w:rsid w:val="00EA0534"/>
    <w:rsid w:val="00EB08D2"/>
    <w:rsid w:val="00EB15CD"/>
    <w:rsid w:val="00ED1135"/>
    <w:rsid w:val="00EE1A42"/>
    <w:rsid w:val="00EF26CE"/>
    <w:rsid w:val="00F03421"/>
    <w:rsid w:val="00F65A5A"/>
    <w:rsid w:val="00F80044"/>
    <w:rsid w:val="00F85961"/>
    <w:rsid w:val="00FE2272"/>
    <w:rsid w:val="00FE45FA"/>
    <w:rsid w:val="380D3FC5"/>
    <w:rsid w:val="482F2C16"/>
    <w:rsid w:val="695B4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85FE4"/>
  <w15:chartTrackingRefBased/>
  <w15:docId w15:val="{162211F8-6D86-48C4-8434-3E3F3D2E2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845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E8455C"/>
  </w:style>
  <w:style w:type="character" w:customStyle="1" w:styleId="normaltextrun">
    <w:name w:val="normaltextrun"/>
    <w:basedOn w:val="DefaultParagraphFont"/>
    <w:rsid w:val="00E8455C"/>
  </w:style>
  <w:style w:type="character" w:customStyle="1" w:styleId="scxw96752707">
    <w:name w:val="scxw96752707"/>
    <w:basedOn w:val="DefaultParagraphFont"/>
    <w:rsid w:val="00E8455C"/>
  </w:style>
  <w:style w:type="paragraph" w:styleId="ListParagraph">
    <w:name w:val="List Paragraph"/>
    <w:basedOn w:val="Normal"/>
    <w:qFormat/>
    <w:rsid w:val="00D14A69"/>
    <w:pPr>
      <w:ind w:left="720"/>
      <w:contextualSpacing/>
    </w:pPr>
  </w:style>
  <w:style w:type="paragraph" w:customStyle="1" w:styleId="partmarks">
    <w:name w:val="part marks"/>
    <w:qFormat/>
    <w:locked/>
    <w:rsid w:val="00AC64D9"/>
    <w:pPr>
      <w:spacing w:after="0" w:line="240" w:lineRule="auto"/>
      <w:ind w:right="851"/>
      <w:jc w:val="right"/>
    </w:pPr>
    <w:rPr>
      <w:rFonts w:ascii="Trebuchet MS" w:eastAsia="Times New Roman" w:hAnsi="Trebuchet MS" w:cs="Times New Roman"/>
      <w:b/>
      <w:color w:val="A6A6A6"/>
      <w:sz w:val="24"/>
      <w:szCs w:val="24"/>
      <w:lang w:eastAsia="en-GB"/>
    </w:rPr>
  </w:style>
  <w:style w:type="paragraph" w:customStyle="1" w:styleId="answerlines">
    <w:name w:val="answer lines"/>
    <w:qFormat/>
    <w:locked/>
    <w:rsid w:val="00AC64D9"/>
    <w:pPr>
      <w:widowControl w:val="0"/>
      <w:tabs>
        <w:tab w:val="right" w:leader="dot" w:pos="10206"/>
      </w:tabs>
      <w:spacing w:before="284" w:after="0" w:line="280" w:lineRule="exact"/>
    </w:pPr>
    <w:rPr>
      <w:rFonts w:ascii="Trebuchet MS" w:eastAsia="Times New Roman" w:hAnsi="Trebuchet MS" w:cs="Times New Roman"/>
      <w:sz w:val="12"/>
      <w:szCs w:val="24"/>
      <w:lang w:eastAsia="en-GB"/>
    </w:rPr>
  </w:style>
  <w:style w:type="paragraph" w:styleId="Header">
    <w:name w:val="header"/>
    <w:basedOn w:val="Normal"/>
    <w:link w:val="HeaderChar"/>
    <w:uiPriority w:val="99"/>
    <w:unhideWhenUsed/>
    <w:rsid w:val="007733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35C"/>
  </w:style>
  <w:style w:type="paragraph" w:styleId="Footer">
    <w:name w:val="footer"/>
    <w:basedOn w:val="Normal"/>
    <w:link w:val="FooterChar"/>
    <w:uiPriority w:val="99"/>
    <w:unhideWhenUsed/>
    <w:rsid w:val="007733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35C"/>
  </w:style>
  <w:style w:type="paragraph" w:customStyle="1" w:styleId="Default">
    <w:name w:val="Default"/>
    <w:uiPriority w:val="99"/>
    <w:rsid w:val="000066A2"/>
    <w:pPr>
      <w:autoSpaceDE w:val="0"/>
      <w:autoSpaceDN w:val="0"/>
      <w:adjustRightInd w:val="0"/>
      <w:spacing w:after="0" w:line="240" w:lineRule="auto"/>
    </w:pPr>
    <w:rPr>
      <w:rFonts w:ascii="Myriad Pro" w:eastAsia="Times New Roman" w:hAnsi="Myriad Pro" w:cs="Myriad Pro"/>
      <w:color w:val="000000"/>
      <w:sz w:val="24"/>
      <w:szCs w:val="24"/>
      <w:lang w:eastAsia="en-GB"/>
    </w:rPr>
  </w:style>
  <w:style w:type="paragraph" w:customStyle="1" w:styleId="TableParagraph">
    <w:name w:val="Table Paragraph"/>
    <w:basedOn w:val="Normal"/>
    <w:uiPriority w:val="1"/>
    <w:qFormat/>
    <w:rsid w:val="00CE626E"/>
    <w:pPr>
      <w:widowControl w:val="0"/>
      <w:autoSpaceDE w:val="0"/>
      <w:autoSpaceDN w:val="0"/>
      <w:spacing w:after="0" w:line="240" w:lineRule="auto"/>
    </w:pPr>
    <w:rPr>
      <w:rFonts w:ascii="Verdana" w:eastAsia="Verdana" w:hAnsi="Verdana" w:cs="Verdana"/>
      <w:lang w:val="en-US" w:bidi="en-US"/>
    </w:rPr>
  </w:style>
  <w:style w:type="paragraph" w:styleId="BalloonText">
    <w:name w:val="Balloon Text"/>
    <w:basedOn w:val="Normal"/>
    <w:link w:val="BalloonTextChar"/>
    <w:uiPriority w:val="99"/>
    <w:semiHidden/>
    <w:unhideWhenUsed/>
    <w:rsid w:val="006658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8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830508">
      <w:bodyDiv w:val="1"/>
      <w:marLeft w:val="0"/>
      <w:marRight w:val="0"/>
      <w:marTop w:val="0"/>
      <w:marBottom w:val="0"/>
      <w:divBdr>
        <w:top w:val="none" w:sz="0" w:space="0" w:color="auto"/>
        <w:left w:val="none" w:sz="0" w:space="0" w:color="auto"/>
        <w:bottom w:val="none" w:sz="0" w:space="0" w:color="auto"/>
        <w:right w:val="none" w:sz="0" w:space="0" w:color="auto"/>
      </w:divBdr>
    </w:div>
    <w:div w:id="1568688996">
      <w:bodyDiv w:val="1"/>
      <w:marLeft w:val="0"/>
      <w:marRight w:val="0"/>
      <w:marTop w:val="0"/>
      <w:marBottom w:val="0"/>
      <w:divBdr>
        <w:top w:val="none" w:sz="0" w:space="0" w:color="auto"/>
        <w:left w:val="none" w:sz="0" w:space="0" w:color="auto"/>
        <w:bottom w:val="none" w:sz="0" w:space="0" w:color="auto"/>
        <w:right w:val="none" w:sz="0" w:space="0" w:color="auto"/>
      </w:divBdr>
    </w:div>
    <w:div w:id="200384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c7918b-6dfb-4aa0-b586-c3fe47922150" xsi:nil="true"/>
    <lcf76f155ced4ddcb4097134ff3c332f xmlns="a048e6a0-c19c-44cc-8659-cfe2dcf3f67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0C9BC4A708734BB0F101906A4AABDF" ma:contentTypeVersion="13" ma:contentTypeDescription="Create a new document." ma:contentTypeScope="" ma:versionID="d29876c3e11570d7d4fe25ffca7146f1">
  <xsd:schema xmlns:xsd="http://www.w3.org/2001/XMLSchema" xmlns:xs="http://www.w3.org/2001/XMLSchema" xmlns:p="http://schemas.microsoft.com/office/2006/metadata/properties" xmlns:ns2="a048e6a0-c19c-44cc-8659-cfe2dcf3f670" xmlns:ns3="2ac7918b-6dfb-4aa0-b586-c3fe47922150" targetNamespace="http://schemas.microsoft.com/office/2006/metadata/properties" ma:root="true" ma:fieldsID="6da8075146873331fdc7823db4e99710" ns2:_="" ns3:_="">
    <xsd:import namespace="a048e6a0-c19c-44cc-8659-cfe2dcf3f670"/>
    <xsd:import namespace="2ac7918b-6dfb-4aa0-b586-c3fe479221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8e6a0-c19c-44cc-8659-cfe2dcf3f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d9cc861-2b00-4e11-b642-a06042b35a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c7918b-6dfb-4aa0-b586-c3fe4792215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1fbffcd-81dc-42b3-8c53-7983e3c3a7df}" ma:internalName="TaxCatchAll" ma:showField="CatchAllData" ma:web="2ac7918b-6dfb-4aa0-b586-c3fe479221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C9398-7A9B-4C80-A329-A2AFFE74CEB8}">
  <ds:schemaRefs>
    <ds:schemaRef ds:uri="http://purl.org/dc/terms/"/>
    <ds:schemaRef ds:uri="http://schemas.microsoft.com/office/infopath/2007/PartnerControls"/>
    <ds:schemaRef ds:uri="http://schemas.microsoft.com/office/2006/documentManagement/types"/>
    <ds:schemaRef ds:uri="bccbce25-53f8-4e62-9bcf-565743da6e13"/>
    <ds:schemaRef ds:uri="http://schemas.openxmlformats.org/package/2006/metadata/core-properties"/>
    <ds:schemaRef ds:uri="http://purl.org/dc/dcmitype/"/>
    <ds:schemaRef ds:uri="http://purl.org/dc/elements/1.1/"/>
    <ds:schemaRef ds:uri="http://schemas.microsoft.com/office/2006/metadata/properties"/>
    <ds:schemaRef ds:uri="9af54aa2-1d32-4149-8f24-2901c3b91622"/>
    <ds:schemaRef ds:uri="http://www.w3.org/XML/1998/namespace"/>
  </ds:schemaRefs>
</ds:datastoreItem>
</file>

<file path=customXml/itemProps2.xml><?xml version="1.0" encoding="utf-8"?>
<ds:datastoreItem xmlns:ds="http://schemas.openxmlformats.org/officeDocument/2006/customXml" ds:itemID="{CFDC3495-820F-44E7-ADCA-52CD5D03304A}">
  <ds:schemaRefs>
    <ds:schemaRef ds:uri="http://schemas.microsoft.com/sharepoint/v3/contenttype/forms"/>
  </ds:schemaRefs>
</ds:datastoreItem>
</file>

<file path=customXml/itemProps3.xml><?xml version="1.0" encoding="utf-8"?>
<ds:datastoreItem xmlns:ds="http://schemas.openxmlformats.org/officeDocument/2006/customXml" ds:itemID="{09B363F0-4AA1-4EB1-84AD-1BD6D7E1C823}"/>
</file>

<file path=customXml/itemProps4.xml><?xml version="1.0" encoding="utf-8"?>
<ds:datastoreItem xmlns:ds="http://schemas.openxmlformats.org/officeDocument/2006/customXml" ds:itemID="{39CE7049-0095-4CFF-BC31-501DDED08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1627</Words>
  <Characters>9279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Leggett, Christine</dc:creator>
  <cp:keywords/>
  <dc:description/>
  <cp:lastModifiedBy>Donna Needham</cp:lastModifiedBy>
  <cp:revision>13</cp:revision>
  <cp:lastPrinted>2022-06-15T20:10:00Z</cp:lastPrinted>
  <dcterms:created xsi:type="dcterms:W3CDTF">2021-03-21T23:39:00Z</dcterms:created>
  <dcterms:modified xsi:type="dcterms:W3CDTF">2022-06-15T20:11:00Z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0x010100480C9BC4A708734BB0F101906A4AABDF</vt:lpwstr>
  </property>
  <property fmtid="{D5CDD505-2E9C-101B-9397-08002B2CF9AE}" pid="3" name="Order">
    <vt:r8>587000</vt:r8>
  </property>
</Properties>
</file>